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4492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78B581E8" w14:textId="77777777" w:rsidR="007E0458" w:rsidRDefault="007E0458" w:rsidP="008927DE">
      <w:pPr>
        <w:jc w:val="center"/>
        <w:outlineLvl w:val="0"/>
      </w:pPr>
      <w:r>
        <w:t>(stan na</w:t>
      </w:r>
      <w:r w:rsidR="00331553">
        <w:t xml:space="preserve"> 31.12.2023 r.</w:t>
      </w:r>
      <w: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1754"/>
        <w:gridCol w:w="6809"/>
      </w:tblGrid>
      <w:tr w:rsidR="007A0A3D" w:rsidRPr="002450C4" w14:paraId="24460B1E" w14:textId="77777777" w:rsidTr="00266C4A">
        <w:tc>
          <w:tcPr>
            <w:tcW w:w="562" w:type="dxa"/>
          </w:tcPr>
          <w:p w14:paraId="66459E8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979" w:type="dxa"/>
          </w:tcPr>
          <w:p w14:paraId="17E0C8C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521" w:type="dxa"/>
          </w:tcPr>
          <w:p w14:paraId="2582C180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720AF14A" w14:textId="77777777" w:rsidTr="00266C4A">
        <w:tc>
          <w:tcPr>
            <w:tcW w:w="562" w:type="dxa"/>
          </w:tcPr>
          <w:p w14:paraId="2E25398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651D5373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521" w:type="dxa"/>
          </w:tcPr>
          <w:p w14:paraId="65185893" w14:textId="2F9466F6" w:rsidR="00DC2455" w:rsidRPr="00833E99" w:rsidRDefault="00DC2455" w:rsidP="0092099A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WROTA STATYSTYKI</w:t>
            </w:r>
          </w:p>
        </w:tc>
      </w:tr>
      <w:tr w:rsidR="007A0A3D" w:rsidRPr="002450C4" w14:paraId="1AA09051" w14:textId="77777777" w:rsidTr="00266C4A">
        <w:trPr>
          <w:trHeight w:val="265"/>
        </w:trPr>
        <w:tc>
          <w:tcPr>
            <w:tcW w:w="562" w:type="dxa"/>
          </w:tcPr>
          <w:p w14:paraId="28D7A7A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7448AB87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521" w:type="dxa"/>
          </w:tcPr>
          <w:p w14:paraId="6D4C13CD" w14:textId="49ADBD4D" w:rsidR="00DC2455" w:rsidRPr="00833E99" w:rsidRDefault="00DC2455" w:rsidP="0092099A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GŁÓWNY URZĄD STATYSTYCZNY</w:t>
            </w:r>
          </w:p>
        </w:tc>
      </w:tr>
      <w:tr w:rsidR="007A0A3D" w:rsidRPr="002450C4" w14:paraId="0146EF16" w14:textId="77777777" w:rsidTr="00266C4A">
        <w:tc>
          <w:tcPr>
            <w:tcW w:w="562" w:type="dxa"/>
          </w:tcPr>
          <w:p w14:paraId="1CCD3C2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088A98DD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521" w:type="dxa"/>
          </w:tcPr>
          <w:p w14:paraId="39A16FB3" w14:textId="5CEB48B7" w:rsidR="00DC2455" w:rsidRPr="00833E99" w:rsidRDefault="00DC2455" w:rsidP="00FD074F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Nie dotyczy</w:t>
            </w:r>
          </w:p>
        </w:tc>
      </w:tr>
      <w:tr w:rsidR="003B107D" w:rsidRPr="002450C4" w14:paraId="79027755" w14:textId="77777777" w:rsidTr="00266C4A">
        <w:tc>
          <w:tcPr>
            <w:tcW w:w="562" w:type="dxa"/>
          </w:tcPr>
          <w:p w14:paraId="194ED64B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007FB0AD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521" w:type="dxa"/>
          </w:tcPr>
          <w:p w14:paraId="3DA98905" w14:textId="77777777" w:rsidR="00DC2455" w:rsidRPr="007C72DD" w:rsidRDefault="00DC2455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Pierwotny planowany koszt realizacji projektu: </w:t>
            </w:r>
            <w:r>
              <w:rPr>
                <w:rFonts w:cstheme="minorHAnsi"/>
                <w:sz w:val="18"/>
                <w:szCs w:val="18"/>
              </w:rPr>
              <w:t>41 243 705</w:t>
            </w:r>
            <w:r w:rsidRPr="007C72DD">
              <w:rPr>
                <w:rFonts w:cstheme="minorHAnsi"/>
                <w:sz w:val="18"/>
                <w:szCs w:val="18"/>
              </w:rPr>
              <w:t>,00 zł</w:t>
            </w:r>
          </w:p>
          <w:p w14:paraId="2BFA4E70" w14:textId="21F1B0CF" w:rsidR="00DC2455" w:rsidRPr="007C72DD" w:rsidRDefault="00DC2455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Ostatni planowany koszt realizacji projektu: </w:t>
            </w:r>
            <w:r w:rsidRPr="00DC2455">
              <w:rPr>
                <w:rFonts w:cstheme="minorHAnsi"/>
                <w:sz w:val="18"/>
                <w:szCs w:val="18"/>
              </w:rPr>
              <w:t>28 693 382,44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 xml:space="preserve"> zł (</w:t>
            </w:r>
            <w:r>
              <w:rPr>
                <w:rFonts w:cstheme="minorHAnsi"/>
                <w:sz w:val="18"/>
                <w:szCs w:val="18"/>
              </w:rPr>
              <w:t>zmiana wynika z Aneksu nr</w:t>
            </w:r>
            <w:r w:rsidR="00D63876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="00D63876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do Porozumienia podpisanego w dniu 01.12.2023 r.)</w:t>
            </w:r>
            <w:r w:rsidR="00F175AE">
              <w:rPr>
                <w:rFonts w:cstheme="minorHAnsi"/>
                <w:sz w:val="18"/>
                <w:szCs w:val="18"/>
              </w:rPr>
              <w:t>.</w:t>
            </w:r>
          </w:p>
          <w:p w14:paraId="3C9FDC34" w14:textId="77777777" w:rsidR="00F175AE" w:rsidRDefault="00F175AE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Ostatni planowany koszt </w:t>
            </w:r>
            <w:r>
              <w:rPr>
                <w:rFonts w:cstheme="minorHAnsi"/>
                <w:sz w:val="18"/>
                <w:szCs w:val="18"/>
              </w:rPr>
              <w:t xml:space="preserve">wydatków kwalifikowalnych </w:t>
            </w:r>
            <w:r w:rsidRPr="007C72DD">
              <w:rPr>
                <w:rFonts w:cstheme="minorHAnsi"/>
                <w:sz w:val="18"/>
                <w:szCs w:val="18"/>
              </w:rPr>
              <w:t xml:space="preserve">projektu: </w:t>
            </w:r>
            <w:r w:rsidRPr="00DC2455">
              <w:rPr>
                <w:rFonts w:cstheme="minorHAnsi"/>
                <w:sz w:val="18"/>
                <w:szCs w:val="18"/>
              </w:rPr>
              <w:t>28</w:t>
            </w:r>
            <w:r>
              <w:rPr>
                <w:rFonts w:cstheme="minorHAnsi"/>
                <w:sz w:val="18"/>
                <w:szCs w:val="18"/>
              </w:rPr>
              <w:t> 673 937</w:t>
            </w:r>
            <w:r w:rsidRPr="00DC2455">
              <w:rPr>
                <w:rFonts w:cstheme="minorHAnsi"/>
                <w:sz w:val="18"/>
                <w:szCs w:val="18"/>
              </w:rPr>
              <w:t>,44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zł (</w:t>
            </w:r>
            <w:r>
              <w:rPr>
                <w:rFonts w:cstheme="minorHAnsi"/>
                <w:sz w:val="18"/>
                <w:szCs w:val="18"/>
              </w:rPr>
              <w:t>zmiana wynika z Aneksu nr 7 do Porozumienia podpisanego w dniu 01.12.2023 r.).</w:t>
            </w:r>
          </w:p>
          <w:p w14:paraId="45AAFF33" w14:textId="77777777" w:rsidR="00F175AE" w:rsidRPr="007C72DD" w:rsidRDefault="00F175AE" w:rsidP="00DC2455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C0D2197" w14:textId="77777777" w:rsidR="00DC2455" w:rsidRDefault="00DC2455" w:rsidP="0092099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Faktyczny koszt projektu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C02CC5" w:rsidRPr="00C02CC5">
              <w:rPr>
                <w:rFonts w:cstheme="minorHAnsi"/>
                <w:b/>
                <w:sz w:val="18"/>
                <w:szCs w:val="18"/>
              </w:rPr>
              <w:t xml:space="preserve">28 317 360,88 </w:t>
            </w:r>
            <w:r w:rsidR="00C02CC5">
              <w:rPr>
                <w:rFonts w:cstheme="minorHAnsi"/>
                <w:b/>
                <w:sz w:val="18"/>
                <w:szCs w:val="18"/>
              </w:rPr>
              <w:t xml:space="preserve">zł z czego wydatki kwalifikowalne stanowią kwotę </w:t>
            </w:r>
            <w:r w:rsidR="0015525B" w:rsidRPr="00C02CC5">
              <w:rPr>
                <w:rFonts w:cstheme="minorHAnsi"/>
                <w:b/>
                <w:sz w:val="18"/>
                <w:szCs w:val="18"/>
              </w:rPr>
              <w:t>28 297 915,88</w:t>
            </w:r>
            <w:r w:rsidR="00C02CC5" w:rsidRPr="00C02CC5">
              <w:rPr>
                <w:rFonts w:cstheme="minorHAnsi"/>
                <w:b/>
                <w:sz w:val="18"/>
                <w:szCs w:val="18"/>
              </w:rPr>
              <w:t xml:space="preserve"> zł</w:t>
            </w:r>
            <w:r w:rsidR="00C02CC5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2ECE846F" w14:textId="77777777" w:rsidR="00DC2455" w:rsidRDefault="00DC2455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43BB635A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Na poszczególne lata podział przedstawia się następująco:</w:t>
            </w:r>
          </w:p>
          <w:p w14:paraId="06DF430C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201</w:t>
            </w:r>
            <w:r w:rsidR="006A6324">
              <w:rPr>
                <w:iCs/>
                <w:sz w:val="18"/>
                <w:szCs w:val="20"/>
              </w:rPr>
              <w:t>9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>
              <w:rPr>
                <w:iCs/>
                <w:sz w:val="18"/>
                <w:szCs w:val="20"/>
              </w:rPr>
              <w:t>0,00</w:t>
            </w:r>
            <w:r w:rsidRPr="003A55C8">
              <w:rPr>
                <w:iCs/>
                <w:sz w:val="18"/>
                <w:szCs w:val="20"/>
              </w:rPr>
              <w:t xml:space="preserve"> zł;</w:t>
            </w:r>
          </w:p>
          <w:p w14:paraId="3E1BE48C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</w:t>
            </w:r>
            <w:r w:rsidR="006A6324">
              <w:rPr>
                <w:iCs/>
                <w:sz w:val="18"/>
                <w:szCs w:val="20"/>
              </w:rPr>
              <w:t>20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2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337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870,61</w:t>
            </w:r>
            <w:r w:rsidR="006A6324">
              <w:rPr>
                <w:iCs/>
                <w:sz w:val="18"/>
                <w:szCs w:val="20"/>
              </w:rPr>
              <w:t xml:space="preserve"> </w:t>
            </w:r>
            <w:r w:rsidRPr="003A55C8">
              <w:rPr>
                <w:iCs/>
                <w:sz w:val="18"/>
                <w:szCs w:val="20"/>
              </w:rPr>
              <w:t>zł;</w:t>
            </w:r>
          </w:p>
          <w:p w14:paraId="4F1BA9BF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1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7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996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196,75</w:t>
            </w:r>
            <w:r w:rsidR="006A6324">
              <w:rPr>
                <w:iCs/>
                <w:sz w:val="18"/>
                <w:szCs w:val="20"/>
              </w:rPr>
              <w:t xml:space="preserve"> </w:t>
            </w:r>
            <w:r w:rsidRPr="003A55C8">
              <w:rPr>
                <w:iCs/>
                <w:sz w:val="18"/>
                <w:szCs w:val="20"/>
              </w:rPr>
              <w:t>zł;</w:t>
            </w:r>
          </w:p>
          <w:p w14:paraId="734BEAE3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2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9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375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670,21</w:t>
            </w:r>
            <w:r w:rsidRPr="003A55C8">
              <w:rPr>
                <w:iCs/>
                <w:sz w:val="18"/>
                <w:szCs w:val="20"/>
              </w:rPr>
              <w:t xml:space="preserve"> zł</w:t>
            </w:r>
            <w:r>
              <w:rPr>
                <w:iCs/>
                <w:sz w:val="18"/>
                <w:szCs w:val="20"/>
              </w:rPr>
              <w:t>;</w:t>
            </w:r>
          </w:p>
          <w:p w14:paraId="427EF2E3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3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B82E0C" w:rsidRPr="00B82E0C">
              <w:rPr>
                <w:iCs/>
                <w:sz w:val="18"/>
                <w:szCs w:val="20"/>
              </w:rPr>
              <w:t>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>607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 xml:space="preserve">623,31 </w:t>
            </w:r>
            <w:r w:rsidR="00B82E0C">
              <w:rPr>
                <w:iCs/>
                <w:sz w:val="18"/>
                <w:szCs w:val="20"/>
              </w:rPr>
              <w:t xml:space="preserve">zł w tym koszty kwalifikowalne </w:t>
            </w:r>
            <w:r w:rsidR="00B82E0C" w:rsidRPr="00B82E0C">
              <w:rPr>
                <w:iCs/>
                <w:sz w:val="18"/>
                <w:szCs w:val="20"/>
              </w:rPr>
              <w:t>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>588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 xml:space="preserve">178,31 </w:t>
            </w:r>
            <w:r w:rsidRPr="003A55C8">
              <w:rPr>
                <w:iCs/>
                <w:sz w:val="18"/>
                <w:szCs w:val="20"/>
              </w:rPr>
              <w:t>zł.</w:t>
            </w:r>
          </w:p>
          <w:p w14:paraId="1B38C203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B77B4DE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Koszty projektu w podziale na GUS oraz jednostki upoważnione do ponoszenia wydatków w projekcie (Centrum Informatyki Statystycznej</w:t>
            </w:r>
            <w:r>
              <w:rPr>
                <w:rFonts w:cstheme="minorHAnsi"/>
                <w:sz w:val="18"/>
                <w:szCs w:val="18"/>
              </w:rPr>
              <w:t xml:space="preserve"> (CIS)</w:t>
            </w:r>
            <w:r w:rsidRPr="007C72DD">
              <w:rPr>
                <w:rFonts w:cstheme="minorHAnsi"/>
                <w:sz w:val="18"/>
                <w:szCs w:val="18"/>
              </w:rPr>
              <w:t xml:space="preserve"> oraz 16 Urzędów Statystycznych</w:t>
            </w:r>
            <w:r>
              <w:rPr>
                <w:rFonts w:cstheme="minorHAnsi"/>
                <w:sz w:val="18"/>
                <w:szCs w:val="18"/>
              </w:rPr>
              <w:t xml:space="preserve"> (US)</w:t>
            </w:r>
            <w:r w:rsidRPr="007C72DD">
              <w:rPr>
                <w:rFonts w:cstheme="minorHAnsi"/>
                <w:sz w:val="18"/>
                <w:szCs w:val="18"/>
              </w:rPr>
              <w:t>):</w:t>
            </w:r>
          </w:p>
          <w:p w14:paraId="6A62A94C" w14:textId="77777777" w:rsidR="00DC2455" w:rsidRDefault="00DC2455" w:rsidP="003C1447">
            <w:pPr>
              <w:tabs>
                <w:tab w:val="left" w:pos="3336"/>
              </w:tabs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G</w:t>
            </w:r>
            <w:r w:rsidR="005C072B">
              <w:rPr>
                <w:rFonts w:cstheme="minorHAnsi"/>
                <w:sz w:val="18"/>
                <w:szCs w:val="18"/>
              </w:rPr>
              <w:t>łówny Urząd Statystyczny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3C1447"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   </w:t>
            </w:r>
            <w:r w:rsidR="00B82E0C" w:rsidRPr="00B82E0C">
              <w:rPr>
                <w:rFonts w:cstheme="minorHAnsi"/>
                <w:sz w:val="18"/>
                <w:szCs w:val="18"/>
              </w:rPr>
              <w:t>21 035 638,94</w:t>
            </w:r>
            <w:r w:rsidR="003C1447">
              <w:rPr>
                <w:rFonts w:cstheme="minorHAnsi"/>
                <w:sz w:val="18"/>
                <w:szCs w:val="18"/>
              </w:rPr>
              <w:t xml:space="preserve"> </w:t>
            </w:r>
            <w:r w:rsidR="003C1447" w:rsidRPr="005C072B">
              <w:rPr>
                <w:rFonts w:cstheme="minorHAnsi"/>
                <w:sz w:val="18"/>
                <w:szCs w:val="18"/>
              </w:rPr>
              <w:t>PLN</w:t>
            </w:r>
          </w:p>
          <w:p w14:paraId="6605C42A" w14:textId="77777777" w:rsidR="005C072B" w:rsidRPr="005C072B" w:rsidRDefault="005C072B" w:rsidP="005C072B">
            <w:pPr>
              <w:tabs>
                <w:tab w:val="left" w:pos="173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Centrum Informatyki Statystycznej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4 </w:t>
            </w:r>
            <w:r w:rsidR="00E078F7" w:rsidRPr="00E078F7">
              <w:rPr>
                <w:rFonts w:cstheme="minorHAnsi"/>
                <w:sz w:val="18"/>
                <w:szCs w:val="18"/>
              </w:rPr>
              <w:t>426</w:t>
            </w:r>
            <w:r w:rsidR="00E078F7"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097,43</w:t>
            </w:r>
            <w:r w:rsidR="006348FC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PLN</w:t>
            </w:r>
          </w:p>
          <w:p w14:paraId="06436D42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Warszawie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312 </w:t>
            </w:r>
            <w:r w:rsidR="00E078F7" w:rsidRPr="00E078F7">
              <w:rPr>
                <w:rFonts w:cstheme="minorHAnsi"/>
                <w:sz w:val="18"/>
                <w:szCs w:val="18"/>
              </w:rPr>
              <w:t>292,36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63C322F7" w14:textId="77777777" w:rsidR="005C072B" w:rsidRPr="005C072B" w:rsidRDefault="005C072B" w:rsidP="005C072B">
            <w:pPr>
              <w:tabs>
                <w:tab w:val="left" w:pos="173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 xml:space="preserve">Urząd Statystyczny w Olsztynie 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1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244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258,91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50213B17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Poznaniu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219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192,93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25E4C7A2" w14:textId="77777777" w:rsidR="005C072B" w:rsidRPr="005C072B" w:rsidRDefault="005C072B" w:rsidP="006348FC">
            <w:pPr>
              <w:tabs>
                <w:tab w:val="left" w:pos="1738"/>
                <w:tab w:val="left" w:pos="364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Szczecinie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185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456,51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54CB695E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Rzeszowie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190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736,55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A961AFC" w14:textId="77777777" w:rsidR="005C072B" w:rsidRPr="005C072B" w:rsidRDefault="005C072B" w:rsidP="006348FC">
            <w:pPr>
              <w:tabs>
                <w:tab w:val="left" w:pos="1738"/>
                <w:tab w:val="left" w:pos="364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Krakowie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</w:t>
            </w:r>
            <w:r w:rsidR="005755F5" w:rsidRPr="005755F5">
              <w:rPr>
                <w:rFonts w:cstheme="minorHAnsi"/>
                <w:sz w:val="18"/>
                <w:szCs w:val="18"/>
              </w:rPr>
              <w:t>175</w:t>
            </w:r>
            <w:r w:rsidR="005755F5">
              <w:rPr>
                <w:rFonts w:cstheme="minorHAnsi"/>
                <w:sz w:val="18"/>
                <w:szCs w:val="18"/>
              </w:rPr>
              <w:t> </w:t>
            </w:r>
            <w:r w:rsidR="005755F5" w:rsidRPr="005755F5">
              <w:rPr>
                <w:rFonts w:cstheme="minorHAnsi"/>
                <w:sz w:val="18"/>
                <w:szCs w:val="18"/>
              </w:rPr>
              <w:t>251,18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0B95F53D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Opolu</w:t>
            </w:r>
            <w:r w:rsidR="006348FC"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138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367,33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2EDE7C6" w14:textId="77777777" w:rsidR="005C072B" w:rsidRPr="005C072B" w:rsidRDefault="005C072B" w:rsidP="006348FC">
            <w:pPr>
              <w:tabs>
                <w:tab w:val="left" w:pos="1738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Łodzi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88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909,37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BE15CC3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we Wrocławiu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120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125,49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FB089C5" w14:textId="77777777" w:rsidR="005C072B" w:rsidRPr="005C072B" w:rsidRDefault="005C072B" w:rsidP="006348FC">
            <w:pPr>
              <w:tabs>
                <w:tab w:val="left" w:pos="1738"/>
                <w:tab w:val="left" w:pos="3756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Białymstoku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176,90 PLN</w:t>
            </w:r>
          </w:p>
          <w:p w14:paraId="52A217BE" w14:textId="77777777" w:rsidR="005C072B" w:rsidRPr="005C072B" w:rsidRDefault="005C072B" w:rsidP="006348FC">
            <w:pPr>
              <w:tabs>
                <w:tab w:val="left" w:pos="1738"/>
                <w:tab w:val="left" w:pos="374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Bydgoszczy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47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="00064A3A">
              <w:rPr>
                <w:rFonts w:cstheme="minorHAnsi"/>
                <w:sz w:val="18"/>
                <w:szCs w:val="18"/>
              </w:rPr>
              <w:t>291,06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2F75B14F" w14:textId="77777777" w:rsidR="005C072B" w:rsidRPr="005C072B" w:rsidRDefault="005C072B" w:rsidP="006348FC">
            <w:pPr>
              <w:tabs>
                <w:tab w:val="left" w:pos="1738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Gdańsku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037,65 PLN</w:t>
            </w:r>
          </w:p>
          <w:p w14:paraId="51200302" w14:textId="77777777" w:rsidR="005C072B" w:rsidRPr="005C072B" w:rsidRDefault="005C072B" w:rsidP="006348FC">
            <w:pPr>
              <w:tabs>
                <w:tab w:val="left" w:pos="1738"/>
                <w:tab w:val="left" w:pos="3216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Katowicach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18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95</w:t>
            </w:r>
            <w:r w:rsidR="00064A3A">
              <w:rPr>
                <w:rFonts w:cstheme="minorHAnsi"/>
                <w:sz w:val="18"/>
                <w:szCs w:val="18"/>
              </w:rPr>
              <w:t>3</w:t>
            </w:r>
            <w:r w:rsidRPr="005C072B">
              <w:rPr>
                <w:rFonts w:cstheme="minorHAnsi"/>
                <w:sz w:val="18"/>
                <w:szCs w:val="18"/>
              </w:rPr>
              <w:t>,</w:t>
            </w:r>
            <w:r w:rsidR="00064A3A">
              <w:rPr>
                <w:rFonts w:cstheme="minorHAnsi"/>
                <w:sz w:val="18"/>
                <w:szCs w:val="18"/>
              </w:rPr>
              <w:t>16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54203F5D" w14:textId="77777777" w:rsidR="005C072B" w:rsidRPr="005C072B" w:rsidRDefault="005C072B" w:rsidP="006348FC">
            <w:pPr>
              <w:tabs>
                <w:tab w:val="left" w:pos="1738"/>
                <w:tab w:val="left" w:pos="3216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Kielcach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00</w:t>
            </w:r>
            <w:r w:rsidR="00064A3A">
              <w:rPr>
                <w:rFonts w:cstheme="minorHAnsi"/>
                <w:sz w:val="18"/>
                <w:szCs w:val="18"/>
              </w:rPr>
              <w:t>2,47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742BB23E" w14:textId="77777777" w:rsidR="005C072B" w:rsidRPr="005C072B" w:rsidRDefault="005C072B" w:rsidP="003C1447">
            <w:pPr>
              <w:tabs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Lublinie</w:t>
            </w:r>
            <w:r w:rsidR="003C1447" w:rsidRPr="005C072B">
              <w:rPr>
                <w:rFonts w:cstheme="minorHAnsi"/>
                <w:sz w:val="18"/>
                <w:szCs w:val="18"/>
              </w:rPr>
              <w:tab/>
            </w:r>
            <w:r w:rsidR="003C1447">
              <w:rPr>
                <w:rFonts w:cstheme="minorHAnsi"/>
                <w:sz w:val="18"/>
                <w:szCs w:val="18"/>
              </w:rPr>
              <w:t xml:space="preserve">  </w:t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064A3A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183,56 PLN</w:t>
            </w:r>
          </w:p>
          <w:p w14:paraId="04923C61" w14:textId="4951894B" w:rsidR="00DC2455" w:rsidRPr="00A26BBD" w:rsidRDefault="005C072B" w:rsidP="00A26BBD">
            <w:pPr>
              <w:tabs>
                <w:tab w:val="left" w:pos="1738"/>
                <w:tab w:val="left" w:pos="376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Zielonej Górze</w:t>
            </w:r>
            <w:r w:rsidR="00064A3A"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>18 944,08 PLN</w:t>
            </w:r>
          </w:p>
          <w:p w14:paraId="7922F9CD" w14:textId="77777777" w:rsidR="006A6324" w:rsidRPr="006A6324" w:rsidRDefault="006A6324" w:rsidP="006A6324">
            <w:pPr>
              <w:jc w:val="both"/>
              <w:rPr>
                <w:i/>
                <w:sz w:val="18"/>
                <w:szCs w:val="20"/>
              </w:rPr>
            </w:pPr>
          </w:p>
          <w:p w14:paraId="4DD61FE3" w14:textId="77777777" w:rsidR="006A6324" w:rsidRPr="00833E99" w:rsidRDefault="006A6324" w:rsidP="006A6324">
            <w:pPr>
              <w:jc w:val="both"/>
              <w:rPr>
                <w:sz w:val="18"/>
                <w:highlight w:val="yellow"/>
              </w:rPr>
            </w:pPr>
            <w:r w:rsidRPr="00833E99">
              <w:rPr>
                <w:sz w:val="18"/>
              </w:rPr>
              <w:t xml:space="preserve">Oszczędności w wysokości </w:t>
            </w:r>
            <w:r w:rsidR="00097A32" w:rsidRPr="00833E99">
              <w:rPr>
                <w:sz w:val="18"/>
                <w:szCs w:val="20"/>
              </w:rPr>
              <w:t>376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>021,56</w:t>
            </w:r>
            <w:r w:rsidRPr="00833E99">
              <w:rPr>
                <w:sz w:val="18"/>
              </w:rPr>
              <w:t xml:space="preserve"> zł zostały wygenerowane w poniższych zadaniach:</w:t>
            </w:r>
          </w:p>
          <w:p w14:paraId="2A922F64" w14:textId="0D41B225" w:rsidR="003C1447" w:rsidRPr="00833E99" w:rsidRDefault="003C1447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</w:rPr>
              <w:t xml:space="preserve">Zadanie nr 2 - </w:t>
            </w:r>
            <w:r w:rsidR="006A6324" w:rsidRPr="00833E99">
              <w:rPr>
                <w:sz w:val="18"/>
              </w:rPr>
              <w:tab/>
            </w:r>
            <w:r w:rsidRPr="00833E99">
              <w:rPr>
                <w:sz w:val="18"/>
              </w:rPr>
              <w:t xml:space="preserve">Usługi zewnętrzne ds. IT – </w:t>
            </w:r>
            <w:r w:rsidR="00B25789" w:rsidRPr="00833E99">
              <w:rPr>
                <w:sz w:val="18"/>
              </w:rPr>
              <w:t xml:space="preserve">kwota </w:t>
            </w:r>
            <w:r w:rsidR="0079471C" w:rsidRPr="00833E99">
              <w:rPr>
                <w:sz w:val="18"/>
                <w:szCs w:val="20"/>
              </w:rPr>
              <w:t>1 </w:t>
            </w:r>
            <w:r w:rsidR="00B25789" w:rsidRPr="00833E99">
              <w:rPr>
                <w:sz w:val="18"/>
              </w:rPr>
              <w:t xml:space="preserve">702,14 zł  - </w:t>
            </w:r>
            <w:r w:rsidRPr="00833E99">
              <w:rPr>
                <w:sz w:val="18"/>
              </w:rPr>
              <w:t>oszczędność wynika z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wykorzystania mniejszej liczby godzin niż wynika z podpisanej umowy (umowa rozliczana godzinowo</w:t>
            </w:r>
            <w:r w:rsidR="00B25789" w:rsidRPr="00833E99">
              <w:rPr>
                <w:sz w:val="18"/>
              </w:rPr>
              <w:t>)</w:t>
            </w:r>
            <w:r w:rsidR="00B25789" w:rsidRPr="00833E99">
              <w:rPr>
                <w:sz w:val="18"/>
                <w:szCs w:val="20"/>
              </w:rPr>
              <w:t>;</w:t>
            </w:r>
          </w:p>
          <w:p w14:paraId="4530E6B2" w14:textId="187B2E53" w:rsidR="00B361A8" w:rsidRPr="00833E99" w:rsidRDefault="00271710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>Zadanie nr 3 -</w:t>
            </w:r>
            <w:r w:rsidR="00B25789" w:rsidRPr="00833E99">
              <w:rPr>
                <w:sz w:val="18"/>
              </w:rPr>
              <w:t xml:space="preserve"> Zadania merytoryczne bezpośrednio związane z dostarczeniem produktów projektu – </w:t>
            </w:r>
            <w:r w:rsidR="00B361A8" w:rsidRPr="00833E99">
              <w:rPr>
                <w:sz w:val="18"/>
              </w:rPr>
              <w:t xml:space="preserve">kwota </w:t>
            </w:r>
            <w:r w:rsidR="00097A32" w:rsidRPr="00833E99">
              <w:rPr>
                <w:sz w:val="18"/>
                <w:szCs w:val="20"/>
              </w:rPr>
              <w:t xml:space="preserve"> 219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 xml:space="preserve">051,12 </w:t>
            </w:r>
            <w:r w:rsidR="00B361A8" w:rsidRPr="00833E99">
              <w:rPr>
                <w:sz w:val="18"/>
                <w:szCs w:val="20"/>
              </w:rPr>
              <w:t xml:space="preserve">zł - </w:t>
            </w:r>
            <w:r w:rsidR="00B25789" w:rsidRPr="00833E99">
              <w:rPr>
                <w:sz w:val="18"/>
                <w:szCs w:val="20"/>
              </w:rPr>
              <w:t xml:space="preserve">oszczędność wynika z </w:t>
            </w:r>
            <w:r w:rsidR="0079471C" w:rsidRPr="00833E99">
              <w:rPr>
                <w:sz w:val="18"/>
                <w:szCs w:val="20"/>
              </w:rPr>
              <w:t xml:space="preserve">późniejszego niż planowano otrzymania rezerwy celowej, </w:t>
            </w:r>
            <w:r w:rsidR="00097A32" w:rsidRPr="00833E99">
              <w:rPr>
                <w:sz w:val="18"/>
                <w:szCs w:val="20"/>
              </w:rPr>
              <w:t>zatrudnienia mniejszej ilości specjalistów z</w:t>
            </w:r>
            <w:r w:rsid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 xml:space="preserve">zakresu DRUPALA-a, </w:t>
            </w:r>
            <w:r w:rsidR="0079471C" w:rsidRPr="00833E99">
              <w:rPr>
                <w:sz w:val="18"/>
                <w:szCs w:val="20"/>
              </w:rPr>
              <w:t>przebywania pracowników na zwolnieniach lekarskich oraz mniejszej kwoty na pochodne pracodawcy (zwolnień wynikających ze składek ZUS)</w:t>
            </w:r>
            <w:r w:rsidR="00B361A8" w:rsidRPr="00833E99">
              <w:rPr>
                <w:sz w:val="18"/>
                <w:szCs w:val="20"/>
              </w:rPr>
              <w:t>;</w:t>
            </w:r>
          </w:p>
          <w:p w14:paraId="000F0C91" w14:textId="77777777" w:rsidR="00F0550A" w:rsidRPr="00833E99" w:rsidRDefault="006F5553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Zadanie nr 9 </w:t>
            </w:r>
            <w:r w:rsidR="00F0550A" w:rsidRPr="00833E99">
              <w:rPr>
                <w:sz w:val="18"/>
              </w:rPr>
              <w:t>–</w:t>
            </w:r>
            <w:r w:rsidR="00F0550A" w:rsidRPr="00833E99">
              <w:t xml:space="preserve"> </w:t>
            </w:r>
            <w:r w:rsidR="00F0550A" w:rsidRPr="00833E99">
              <w:rPr>
                <w:sz w:val="18"/>
              </w:rPr>
              <w:t xml:space="preserve">Szkolenia – kwota </w:t>
            </w:r>
            <w:r w:rsidR="00097A32" w:rsidRPr="00833E99">
              <w:rPr>
                <w:sz w:val="18"/>
                <w:szCs w:val="20"/>
              </w:rPr>
              <w:t xml:space="preserve"> 29 750,40</w:t>
            </w:r>
            <w:r w:rsidR="00F0550A" w:rsidRPr="00833E99">
              <w:rPr>
                <w:sz w:val="18"/>
              </w:rPr>
              <w:t xml:space="preserve"> zł – oszczędność wyniknęła z</w:t>
            </w:r>
            <w:r w:rsidR="00097A32" w:rsidRPr="00833E99">
              <w:rPr>
                <w:sz w:val="18"/>
                <w:szCs w:val="20"/>
              </w:rPr>
              <w:t> niższej kwoty podpisanej umowy</w:t>
            </w:r>
            <w:r w:rsidR="00F0550A" w:rsidRPr="00833E99">
              <w:rPr>
                <w:sz w:val="18"/>
              </w:rPr>
              <w:t xml:space="preserve"> niż </w:t>
            </w:r>
            <w:r w:rsidR="00097A32" w:rsidRPr="00833E99">
              <w:rPr>
                <w:sz w:val="18"/>
                <w:szCs w:val="20"/>
              </w:rPr>
              <w:t>wynikało to z wartości szacunkowej</w:t>
            </w:r>
            <w:r w:rsidR="00F0550A" w:rsidRPr="00833E99">
              <w:rPr>
                <w:sz w:val="18"/>
                <w:szCs w:val="20"/>
              </w:rPr>
              <w:t>;</w:t>
            </w:r>
          </w:p>
          <w:p w14:paraId="5C61B83E" w14:textId="77777777" w:rsidR="00F0550A" w:rsidRPr="00833E99" w:rsidRDefault="00F0550A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>Zadanie nr 10 –</w:t>
            </w:r>
            <w:r w:rsidRPr="00833E99">
              <w:t xml:space="preserve"> </w:t>
            </w:r>
            <w:r w:rsidRPr="00833E99">
              <w:rPr>
                <w:sz w:val="18"/>
              </w:rPr>
              <w:t xml:space="preserve">Promocja – kwota </w:t>
            </w:r>
            <w:r w:rsidR="00097A32" w:rsidRPr="00833E99">
              <w:rPr>
                <w:sz w:val="18"/>
                <w:szCs w:val="20"/>
              </w:rPr>
              <w:t>15 533,95</w:t>
            </w:r>
            <w:r w:rsidRPr="00833E99">
              <w:rPr>
                <w:sz w:val="18"/>
              </w:rPr>
              <w:t xml:space="preserve"> zł – oszczędność wyniknęła z</w:t>
            </w:r>
            <w:r w:rsidR="00404302" w:rsidRPr="00833E99">
              <w:rPr>
                <w:sz w:val="18"/>
              </w:rPr>
              <w:t> </w:t>
            </w:r>
            <w:r w:rsidRPr="00833E99">
              <w:rPr>
                <w:sz w:val="18"/>
              </w:rPr>
              <w:t xml:space="preserve">mniejszych </w:t>
            </w:r>
            <w:r w:rsidR="00097A32" w:rsidRPr="00833E99">
              <w:rPr>
                <w:sz w:val="18"/>
                <w:szCs w:val="20"/>
              </w:rPr>
              <w:t>kosztów związanych z realizacją umów oraz udziałem pracowników</w:t>
            </w:r>
            <w:r w:rsidRPr="00833E99">
              <w:rPr>
                <w:sz w:val="18"/>
              </w:rPr>
              <w:t xml:space="preserve"> w </w:t>
            </w:r>
            <w:r w:rsidR="00097A32" w:rsidRPr="00833E99">
              <w:rPr>
                <w:sz w:val="18"/>
                <w:szCs w:val="20"/>
              </w:rPr>
              <w:t>konferencjach promujących projekt WROTA STATYSTYKI</w:t>
            </w:r>
            <w:r w:rsidRPr="00833E99">
              <w:rPr>
                <w:sz w:val="18"/>
                <w:szCs w:val="20"/>
              </w:rPr>
              <w:t>;</w:t>
            </w:r>
          </w:p>
          <w:p w14:paraId="2BE60AC0" w14:textId="6A032C29" w:rsidR="006F5553" w:rsidRPr="00833E99" w:rsidRDefault="00F0550A" w:rsidP="00DA34A0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Koszty pośrednie – kwota </w:t>
            </w:r>
            <w:r w:rsidR="00097A32" w:rsidRPr="00833E99">
              <w:rPr>
                <w:sz w:val="18"/>
                <w:szCs w:val="20"/>
              </w:rPr>
              <w:t xml:space="preserve"> 109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>983,95</w:t>
            </w:r>
            <w:r w:rsidRPr="00833E99">
              <w:rPr>
                <w:sz w:val="18"/>
              </w:rPr>
              <w:t xml:space="preserve"> zł – oszczędność </w:t>
            </w:r>
            <w:r w:rsidR="00097A32" w:rsidRPr="00833E99">
              <w:rPr>
                <w:sz w:val="18"/>
                <w:szCs w:val="20"/>
              </w:rPr>
              <w:t>wynika</w:t>
            </w:r>
            <w:r w:rsidRPr="00833E99">
              <w:rPr>
                <w:sz w:val="18"/>
              </w:rPr>
              <w:t xml:space="preserve"> z </w:t>
            </w:r>
            <w:r w:rsidR="00097A32" w:rsidRPr="00833E99">
              <w:rPr>
                <w:sz w:val="18"/>
                <w:szCs w:val="20"/>
              </w:rPr>
              <w:t>późniejszego niż planowano</w:t>
            </w:r>
            <w:r w:rsidRPr="00833E99">
              <w:rPr>
                <w:sz w:val="18"/>
              </w:rPr>
              <w:t xml:space="preserve"> otrzymania rezerwy celowej</w:t>
            </w:r>
            <w:r w:rsidR="00097A32" w:rsidRPr="00833E99">
              <w:rPr>
                <w:sz w:val="18"/>
                <w:szCs w:val="20"/>
              </w:rPr>
              <w:t>, przebywania pracowników na</w:t>
            </w:r>
            <w:r w:rsidR="00DA34A0" w:rsidRPr="00833E99">
              <w:rPr>
                <w:sz w:val="18"/>
                <w:szCs w:val="20"/>
              </w:rPr>
              <w:t xml:space="preserve"> </w:t>
            </w:r>
            <w:r w:rsidR="00097A32" w:rsidRPr="00833E99">
              <w:rPr>
                <w:sz w:val="18"/>
                <w:szCs w:val="20"/>
              </w:rPr>
              <w:t xml:space="preserve">zwolnieniach </w:t>
            </w:r>
            <w:r w:rsidR="00097A32" w:rsidRPr="00833E99">
              <w:rPr>
                <w:sz w:val="18"/>
                <w:szCs w:val="20"/>
              </w:rPr>
              <w:lastRenderedPageBreak/>
              <w:t>lekarskich oraz mniejszej kwoty na pochodne pracodawcy (zwolnień wynikających ze składek ZUS);</w:t>
            </w:r>
          </w:p>
          <w:p w14:paraId="33374244" w14:textId="77777777" w:rsidR="006A6324" w:rsidRPr="00833E99" w:rsidRDefault="006A6324" w:rsidP="00F0550A">
            <w:pPr>
              <w:pStyle w:val="Akapitzlist"/>
              <w:ind w:left="360"/>
              <w:jc w:val="both"/>
              <w:rPr>
                <w:sz w:val="18"/>
                <w:szCs w:val="20"/>
                <w:highlight w:val="yellow"/>
              </w:rPr>
            </w:pPr>
          </w:p>
          <w:p w14:paraId="69F5EE5C" w14:textId="2B202079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Korekty finansowe nałożone na Wykonawców</w:t>
            </w:r>
            <w:r w:rsidR="007D3E1F">
              <w:rPr>
                <w:sz w:val="18"/>
              </w:rPr>
              <w:t xml:space="preserve"> (w GUS</w:t>
            </w:r>
            <w:r w:rsidR="00536EC0">
              <w:rPr>
                <w:sz w:val="18"/>
              </w:rPr>
              <w:t xml:space="preserve"> są to kary umowne</w:t>
            </w:r>
            <w:r w:rsidR="007D3E1F">
              <w:rPr>
                <w:sz w:val="18"/>
              </w:rPr>
              <w:t>)</w:t>
            </w:r>
            <w:r w:rsidR="003C37DC" w:rsidRPr="00833E99">
              <w:rPr>
                <w:sz w:val="18"/>
                <w:szCs w:val="20"/>
              </w:rPr>
              <w:t xml:space="preserve">: </w:t>
            </w:r>
          </w:p>
          <w:p w14:paraId="1AC64073" w14:textId="77777777" w:rsidR="003C37DC" w:rsidRPr="00833E99" w:rsidRDefault="003C37DC" w:rsidP="006A6324">
            <w:pPr>
              <w:jc w:val="both"/>
              <w:rPr>
                <w:sz w:val="18"/>
                <w:szCs w:val="20"/>
              </w:rPr>
            </w:pPr>
          </w:p>
          <w:p w14:paraId="42A34D60" w14:textId="77777777" w:rsidR="0079471C" w:rsidRPr="00833E99" w:rsidRDefault="005B3310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11.04.2023</w:t>
            </w:r>
            <w:r w:rsidR="006A6324" w:rsidRPr="00833E99">
              <w:rPr>
                <w:sz w:val="18"/>
              </w:rPr>
              <w:t xml:space="preserve"> r. </w:t>
            </w:r>
            <w:r w:rsidRPr="00833E99">
              <w:rPr>
                <w:sz w:val="18"/>
                <w:szCs w:val="20"/>
              </w:rPr>
              <w:t>wystawiono notę obciążeniową</w:t>
            </w:r>
            <w:r w:rsidR="00F252A4" w:rsidRPr="00833E99">
              <w:rPr>
                <w:sz w:val="18"/>
                <w:szCs w:val="20"/>
              </w:rPr>
              <w:t xml:space="preserve"> </w:t>
            </w:r>
            <w:r w:rsidRPr="00833E99">
              <w:rPr>
                <w:sz w:val="18"/>
                <w:szCs w:val="20"/>
              </w:rPr>
              <w:t xml:space="preserve"> nr </w:t>
            </w:r>
            <w:r w:rsidR="00F252A4" w:rsidRPr="00833E99">
              <w:rPr>
                <w:sz w:val="18"/>
                <w:szCs w:val="20"/>
              </w:rPr>
              <w:t xml:space="preserve">33 </w:t>
            </w:r>
            <w:r w:rsidRPr="00833E99">
              <w:rPr>
                <w:sz w:val="18"/>
                <w:szCs w:val="20"/>
              </w:rPr>
              <w:t xml:space="preserve">na kwotę 568 819,40 zł </w:t>
            </w:r>
            <w:r w:rsidR="00F252A4" w:rsidRPr="00833E99">
              <w:rPr>
                <w:sz w:val="18"/>
                <w:szCs w:val="20"/>
              </w:rPr>
              <w:t xml:space="preserve">(koszt kwalifikowalny) dla firmy SOFTENGI Spółką z ograniczoną odpowiedzialnością </w:t>
            </w:r>
            <w:r w:rsidRPr="00833E99">
              <w:rPr>
                <w:sz w:val="18"/>
                <w:szCs w:val="20"/>
              </w:rPr>
              <w:t>z tytułu kary umownej w związku z odstąpieniem Zamawiającego od Umowy – stanowiące 20% wartości podpisanej umowy.</w:t>
            </w:r>
          </w:p>
          <w:p w14:paraId="0DDC2E4D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12.</w:t>
            </w:r>
            <w:r w:rsidR="005B3310" w:rsidRPr="00833E99">
              <w:rPr>
                <w:sz w:val="18"/>
                <w:szCs w:val="20"/>
              </w:rPr>
              <w:t>03.2023</w:t>
            </w:r>
            <w:r w:rsidRPr="00833E99">
              <w:rPr>
                <w:sz w:val="18"/>
              </w:rPr>
              <w:t xml:space="preserve"> r</w:t>
            </w:r>
            <w:r w:rsidR="005B3310" w:rsidRPr="00833E99">
              <w:rPr>
                <w:sz w:val="18"/>
                <w:szCs w:val="20"/>
              </w:rPr>
              <w:t xml:space="preserve"> – wystawiono notę o</w:t>
            </w:r>
            <w:r w:rsidR="00D76B64" w:rsidRPr="00833E99">
              <w:rPr>
                <w:sz w:val="18"/>
                <w:szCs w:val="20"/>
              </w:rPr>
              <w:t>b</w:t>
            </w:r>
            <w:r w:rsidR="005B3310" w:rsidRPr="00833E99">
              <w:rPr>
                <w:sz w:val="18"/>
                <w:szCs w:val="20"/>
              </w:rPr>
              <w:t>ciążeniową nr 18 na kwot</w:t>
            </w:r>
            <w:r w:rsidR="00D76B64" w:rsidRPr="00833E99">
              <w:rPr>
                <w:sz w:val="18"/>
                <w:szCs w:val="20"/>
              </w:rPr>
              <w:t>ę 20</w:t>
            </w:r>
            <w:r w:rsidRPr="00833E99">
              <w:rPr>
                <w:sz w:val="18"/>
              </w:rPr>
              <w:t xml:space="preserve"> zł (koszt niekwalifikowalny) dla firmy </w:t>
            </w:r>
            <w:r w:rsidR="00F252A4" w:rsidRPr="00833E99">
              <w:rPr>
                <w:sz w:val="18"/>
                <w:szCs w:val="20"/>
              </w:rPr>
              <w:t xml:space="preserve">Nobleprog Polska Sp. z o.o. </w:t>
            </w:r>
            <w:r w:rsidR="00D76B64" w:rsidRPr="00833E99">
              <w:rPr>
                <w:sz w:val="18"/>
                <w:szCs w:val="20"/>
              </w:rPr>
              <w:t>z tytułu zwłoki w dostarczeniu imiennych zaświadczeń uczestnikom szkolenia (10zł *2 dni);</w:t>
            </w:r>
          </w:p>
          <w:p w14:paraId="52E8EBF4" w14:textId="0CEE59FB" w:rsidR="005B3310" w:rsidRPr="00833E99" w:rsidRDefault="00D76B64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 xml:space="preserve">22.03.2023 r. – wystawiono notę obciążeniową nr 24 na </w:t>
            </w:r>
            <w:r w:rsidR="00F252A4" w:rsidRPr="00833E99">
              <w:rPr>
                <w:sz w:val="18"/>
                <w:szCs w:val="20"/>
              </w:rPr>
              <w:t>kwotę</w:t>
            </w:r>
            <w:r w:rsidRPr="00833E99">
              <w:rPr>
                <w:sz w:val="18"/>
                <w:szCs w:val="20"/>
              </w:rPr>
              <w:t xml:space="preserve"> 19</w:t>
            </w:r>
            <w:r w:rsidR="00536EC0">
              <w:rPr>
                <w:sz w:val="18"/>
                <w:szCs w:val="20"/>
              </w:rPr>
              <w:t xml:space="preserve"> </w:t>
            </w:r>
            <w:r w:rsidRPr="00833E99">
              <w:rPr>
                <w:sz w:val="18"/>
                <w:szCs w:val="20"/>
              </w:rPr>
              <w:t>425 zł</w:t>
            </w:r>
            <w:r w:rsidR="00F252A4" w:rsidRPr="00833E99">
              <w:rPr>
                <w:sz w:val="18"/>
                <w:szCs w:val="20"/>
              </w:rPr>
              <w:t xml:space="preserve"> </w:t>
            </w:r>
            <w:r w:rsidR="001E21BD" w:rsidRPr="00833E99">
              <w:rPr>
                <w:sz w:val="18"/>
                <w:szCs w:val="20"/>
              </w:rPr>
              <w:t xml:space="preserve">(koszt niekwalifikowalny) </w:t>
            </w:r>
            <w:r w:rsidR="00F252A4" w:rsidRPr="00833E99">
              <w:rPr>
                <w:sz w:val="18"/>
                <w:szCs w:val="20"/>
              </w:rPr>
              <w:t>dla firmy Nobleprog Polska Sp. z o.o.</w:t>
            </w:r>
            <w:r w:rsidRPr="00833E99">
              <w:rPr>
                <w:sz w:val="18"/>
                <w:szCs w:val="20"/>
              </w:rPr>
              <w:t xml:space="preserve"> z tytułu kary umownej w</w:t>
            </w:r>
            <w:r w:rsidR="00404302" w:rsidRPr="00833E99">
              <w:rPr>
                <w:sz w:val="18"/>
                <w:szCs w:val="20"/>
              </w:rPr>
              <w:t> </w:t>
            </w:r>
            <w:r w:rsidRPr="00833E99">
              <w:rPr>
                <w:sz w:val="18"/>
                <w:szCs w:val="20"/>
              </w:rPr>
              <w:t>związku z brakiem realizacji trzech zleconych szkoleń.</w:t>
            </w:r>
          </w:p>
          <w:p w14:paraId="4CB0E162" w14:textId="77777777" w:rsidR="00F252A4" w:rsidRPr="00833E99" w:rsidRDefault="001E21BD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 xml:space="preserve">21.11.2023 r. – wystawiono notę obciążeniową nr 123 na kwotę 3 170,52 zł  (koszt kwalifikowalny) dla firmy Fabryka Marketingu Sp. z o.o. </w:t>
            </w:r>
            <w:r w:rsidR="003C37DC" w:rsidRPr="00833E99">
              <w:rPr>
                <w:sz w:val="18"/>
                <w:szCs w:val="20"/>
              </w:rPr>
              <w:t xml:space="preserve">tytułem kary umownej </w:t>
            </w:r>
            <w:r w:rsidR="00404302" w:rsidRPr="00833E99">
              <w:rPr>
                <w:sz w:val="18"/>
                <w:szCs w:val="20"/>
              </w:rPr>
              <w:t xml:space="preserve"> w </w:t>
            </w:r>
            <w:r w:rsidR="003C37DC" w:rsidRPr="00833E99">
              <w:rPr>
                <w:sz w:val="18"/>
                <w:szCs w:val="20"/>
              </w:rPr>
              <w:t>związku z wykonaniem trzech zadań po terminie określonym w Umowie.</w:t>
            </w:r>
          </w:p>
          <w:p w14:paraId="38C33C1A" w14:textId="77777777" w:rsidR="003C37DC" w:rsidRPr="00833E99" w:rsidRDefault="003C37DC" w:rsidP="006A6324">
            <w:pPr>
              <w:jc w:val="both"/>
              <w:rPr>
                <w:sz w:val="18"/>
                <w:szCs w:val="20"/>
              </w:rPr>
            </w:pPr>
          </w:p>
          <w:p w14:paraId="34E58092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Korekty finansowe nałożone na Beneficjenta</w:t>
            </w:r>
          </w:p>
          <w:p w14:paraId="638233AF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Brak</w:t>
            </w:r>
          </w:p>
          <w:p w14:paraId="1505A7D4" w14:textId="77777777" w:rsidR="006A6324" w:rsidRPr="00833E99" w:rsidRDefault="006A6324" w:rsidP="006A6324">
            <w:pPr>
              <w:jc w:val="both"/>
              <w:rPr>
                <w:sz w:val="18"/>
              </w:rPr>
            </w:pPr>
          </w:p>
          <w:p w14:paraId="15042F09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Kwota we wnioskach zatwierdzonych </w:t>
            </w:r>
            <w:r w:rsidR="003E118C" w:rsidRPr="00833E99">
              <w:rPr>
                <w:sz w:val="18"/>
                <w:szCs w:val="20"/>
              </w:rPr>
              <w:t>27 262 273,36</w:t>
            </w:r>
            <w:r w:rsidRPr="00833E99">
              <w:rPr>
                <w:sz w:val="18"/>
              </w:rPr>
              <w:t xml:space="preserve"> zł.</w:t>
            </w:r>
          </w:p>
          <w:p w14:paraId="5C8D1687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Poziom certyfikacji w odniesieniu do zakontraktowanej wartości dofinansowania: </w:t>
            </w:r>
            <w:r w:rsidR="005755F5" w:rsidRPr="00833E99">
              <w:rPr>
                <w:sz w:val="18"/>
                <w:szCs w:val="20"/>
              </w:rPr>
              <w:t>96,34</w:t>
            </w:r>
            <w:r w:rsidRPr="00833E99">
              <w:rPr>
                <w:sz w:val="18"/>
              </w:rPr>
              <w:t>%.</w:t>
            </w:r>
          </w:p>
          <w:p w14:paraId="07699840" w14:textId="076F4FD5" w:rsidR="003B107D" w:rsidRPr="002450C4" w:rsidRDefault="006A6324" w:rsidP="00BC120E">
            <w:pPr>
              <w:jc w:val="both"/>
              <w:rPr>
                <w:i/>
                <w:sz w:val="18"/>
                <w:szCs w:val="20"/>
              </w:rPr>
            </w:pPr>
            <w:r w:rsidRPr="00833E99">
              <w:rPr>
                <w:sz w:val="18"/>
              </w:rPr>
              <w:t>Poziom certyfikacji w</w:t>
            </w:r>
            <w:r w:rsidR="00455DA2" w:rsidRPr="00833E99">
              <w:rPr>
                <w:sz w:val="18"/>
              </w:rPr>
              <w:t xml:space="preserve"> odniesieniu do wartości projektu z porozumienia o</w:t>
            </w:r>
            <w:r w:rsidR="00404302" w:rsidRPr="00833E99">
              <w:rPr>
                <w:sz w:val="18"/>
              </w:rPr>
              <w:t> </w:t>
            </w:r>
            <w:r w:rsidR="00455DA2" w:rsidRPr="00833E99">
              <w:rPr>
                <w:sz w:val="18"/>
              </w:rPr>
              <w:t>dofinansowanie</w:t>
            </w:r>
            <w:r w:rsidR="00536EC0">
              <w:rPr>
                <w:sz w:val="18"/>
              </w:rPr>
              <w:t>:</w:t>
            </w:r>
            <w:r w:rsidR="00455DA2" w:rsidRPr="00833E99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5755F5" w:rsidRPr="00833E99">
              <w:rPr>
                <w:rFonts w:cstheme="minorHAnsi"/>
                <w:iCs/>
                <w:sz w:val="18"/>
                <w:szCs w:val="18"/>
              </w:rPr>
              <w:t>95,08</w:t>
            </w:r>
            <w:r w:rsidR="00455DA2" w:rsidRPr="00833E99">
              <w:rPr>
                <w:sz w:val="18"/>
              </w:rPr>
              <w:t>%.</w:t>
            </w:r>
          </w:p>
        </w:tc>
      </w:tr>
      <w:tr w:rsidR="007A0A3D" w:rsidRPr="002450C4" w14:paraId="3DBE24FC" w14:textId="77777777" w:rsidTr="00266C4A">
        <w:tc>
          <w:tcPr>
            <w:tcW w:w="562" w:type="dxa"/>
          </w:tcPr>
          <w:p w14:paraId="6EA8FEE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6447A3AE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521" w:type="dxa"/>
          </w:tcPr>
          <w:p w14:paraId="2B5F3A3B" w14:textId="6C89C200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7F49B21C" w14:textId="4A989838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4942E3B8" w14:textId="0A6F43D3" w:rsidR="00B37BE0" w:rsidRDefault="00B37BE0" w:rsidP="00DA34A0">
            <w:pPr>
              <w:pStyle w:val="Other0"/>
              <w:jc w:val="both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2626D3F3" w14:textId="68B17CF7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Pr="008E01AA">
              <w:rPr>
                <w:rFonts w:cstheme="minorHAnsi"/>
                <w:bCs/>
                <w:iCs/>
              </w:rPr>
              <w:t>30.</w:t>
            </w:r>
            <w:r>
              <w:rPr>
                <w:rFonts w:cstheme="minorHAnsi"/>
                <w:bCs/>
                <w:iCs/>
              </w:rPr>
              <w:t>11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2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3A9DDD68" w14:textId="2451167B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Pr="008E01AA">
              <w:rPr>
                <w:rFonts w:cstheme="minorHAnsi"/>
                <w:bCs/>
                <w:iCs/>
              </w:rPr>
              <w:t>31.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3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5543A73C" w14:textId="2D62704E" w:rsidR="00B37BE0" w:rsidRDefault="00B37BE0" w:rsidP="00DA34A0">
            <w:pPr>
              <w:pStyle w:val="Other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Pr="008E01AA">
              <w:rPr>
                <w:rFonts w:cstheme="minorHAnsi"/>
                <w:bCs/>
                <w:iCs/>
              </w:rPr>
              <w:t>31.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3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1F739B71" w14:textId="77777777" w:rsidR="00B37BE0" w:rsidRDefault="00B37BE0" w:rsidP="00DA34A0">
            <w:pPr>
              <w:jc w:val="both"/>
              <w:rPr>
                <w:i/>
                <w:sz w:val="18"/>
                <w:szCs w:val="20"/>
              </w:rPr>
            </w:pPr>
          </w:p>
          <w:p w14:paraId="311EEE15" w14:textId="77777777" w:rsidR="00B37BE0" w:rsidRPr="009255B0" w:rsidRDefault="00B37BE0" w:rsidP="00DA34A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255B0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Przyczyną zmiany terminu zakończenia realizacji projektu w stosunku do pierwotnego planu jest:</w:t>
            </w:r>
            <w:r w:rsidRPr="009255B0" w:rsidDel="00D35C3E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AA05FAB" w14:textId="04AF3414" w:rsidR="00B37BE0" w:rsidRPr="003B437B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W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ramach podpisanego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2</w:t>
            </w:r>
            <w:r w:rsidR="00C027AD">
              <w:rPr>
                <w:rFonts w:cstheme="minorHAnsi"/>
                <w:bCs/>
                <w:iCs/>
                <w:sz w:val="18"/>
                <w:szCs w:val="18"/>
              </w:rPr>
              <w:t>7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.01.2020 r. 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porozumienia o dofinansowanie dla projektu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WROTA STATYSTYKI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, w zakresie działania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2.3 „Cyfrowa dostępność i użyteczność informacji sektora publicznego”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Poddziałanie nr 2.3.1. „Cyfrowe udostępnienie informacji sektora publicznego ze źródeł administracyjnych i zasobów nauki”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(Typ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I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projektu: „Cyfrowe udostępnienie ISP ze źródeł administracyjnych”)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Programu Operacyjnego Polska Cyfrowa 2014-2020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r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ealizacja prac w projekcie rozpoczęła się 01.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12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.201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9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r. i pierwotnie miała trwać do 30.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11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.202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r. Jednak z uwagi na zaistniałą sytuację związaną z pandemią koronawirusa SARS-Cov-2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,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n</w:t>
            </w:r>
            <w:r w:rsidRPr="003B437B">
              <w:rPr>
                <w:rFonts w:cstheme="minorHAnsi"/>
                <w:bCs/>
                <w:iCs/>
                <w:sz w:val="18"/>
                <w:szCs w:val="18"/>
              </w:rPr>
              <w:t xml:space="preserve">a mocy ustawy 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z dnia 03.04.2020 r. o szczególnych rozwiązaniach wspierających realizację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programów operacyjnych (Dz.U. 2020 poz. 694 z późn. zm.)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Beneficjent wystąpił do Centrum Projektów Polska Cyfrowa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>(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CPPC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>)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o wyrażenie zgody na przedłużenie terminu realizacji projektu do 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28.02.2023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r.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czego wynikiem było podpisanie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Aneks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nr </w:t>
            </w:r>
            <w:r w:rsidR="0076539D">
              <w:rPr>
                <w:rFonts w:cstheme="minorHAnsi"/>
                <w:bCs/>
                <w:iCs/>
                <w:sz w:val="18"/>
                <w:szCs w:val="18"/>
              </w:rPr>
              <w:t>1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zmieniającego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termin realizacji projektu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na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28.02.2023 r.</w:t>
            </w:r>
          </w:p>
          <w:p w14:paraId="470801E9" w14:textId="77777777" w:rsidR="00266C4A" w:rsidRDefault="00266C4A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193E1BF1" w14:textId="77777777" w:rsidR="00266C4A" w:rsidRDefault="00266C4A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266C4A">
              <w:rPr>
                <w:rFonts w:cstheme="minorHAnsi"/>
                <w:bCs/>
                <w:iCs/>
                <w:sz w:val="18"/>
                <w:szCs w:val="18"/>
              </w:rPr>
              <w:t>Z uwagi na około roczne opóźnienie Wykonawcy umowy na zaprojektowanie, opracowanie i wdrożenie portalu PI 2.0 wraz z systemem CMS  oraz nieukończenie pomimo ww. opóźnienia kluczowych zadań (wdrożenie CMS i wdrożenie PI)</w:t>
            </w:r>
          </w:p>
          <w:p w14:paraId="7EC2AD49" w14:textId="176AC6A1" w:rsidR="0076539D" w:rsidRDefault="00CC2FB1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3A39C4">
              <w:rPr>
                <w:rFonts w:cstheme="minorHAnsi"/>
                <w:bCs/>
                <w:iCs/>
                <w:sz w:val="18"/>
                <w:szCs w:val="18"/>
              </w:rPr>
              <w:t>podjęto decyzję o realizacji zadania</w:t>
            </w:r>
            <w:r w:rsidR="00266C4A">
              <w:t xml:space="preserve"> </w:t>
            </w:r>
            <w:r w:rsidR="00266C4A" w:rsidRPr="00266C4A">
              <w:rPr>
                <w:rFonts w:cstheme="minorHAnsi"/>
                <w:bCs/>
                <w:iCs/>
                <w:sz w:val="18"/>
                <w:szCs w:val="18"/>
              </w:rPr>
              <w:t xml:space="preserve">z wykorzystaniem zasobów zewnętrznego wykonawcy ds. IT (Zadanie 2 - umowa ramowa na usługi m.in. programowania), a 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266C4A" w:rsidRPr="00266C4A">
              <w:rPr>
                <w:rFonts w:cstheme="minorHAnsi"/>
                <w:bCs/>
                <w:iCs/>
                <w:sz w:val="18"/>
                <w:szCs w:val="18"/>
              </w:rPr>
              <w:t>wobec braku porozumienia z wykonawcą co do warunków i zakresu wymagań realizacji asysty na wdrożenie CMS / PI, podjęto decyzję o realizacji zadania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własnymi siłami. Efektem powyższych zmian było podpisanie Aneksu nr 5.</w:t>
            </w:r>
            <w:r w:rsidR="003A39C4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CPPC wyraziło zgodę na przedłużenie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termin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realizacji projektu oraz okres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kwalifikowalności do 31.12.2023 r.</w:t>
            </w:r>
          </w:p>
          <w:p w14:paraId="0D7EC754" w14:textId="77777777" w:rsidR="00640B17" w:rsidRDefault="00640B17" w:rsidP="00B37BE0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53B19417" w14:textId="77777777" w:rsidR="00B37BE0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 xml:space="preserve">Zgodnie z Aneksem nr </w:t>
            </w:r>
            <w:r w:rsidR="007F045D">
              <w:rPr>
                <w:rFonts w:cstheme="minorHAnsi"/>
                <w:bCs/>
                <w:iCs/>
                <w:sz w:val="18"/>
                <w:szCs w:val="18"/>
              </w:rPr>
              <w:t>1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i Aneksem nr </w:t>
            </w:r>
            <w:r w:rsidR="007F045D">
              <w:rPr>
                <w:rFonts w:cstheme="minorHAnsi"/>
                <w:bCs/>
                <w:iCs/>
                <w:sz w:val="18"/>
                <w:szCs w:val="18"/>
              </w:rPr>
              <w:t>5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zostały przesunięte terminy realizacji kamieni milowych. </w:t>
            </w:r>
          </w:p>
          <w:p w14:paraId="5E8B277F" w14:textId="77777777" w:rsidR="00B37BE0" w:rsidRPr="003B437B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1B77179E" w14:textId="77777777" w:rsidR="00B37BE0" w:rsidRPr="008E01AA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3B437B">
              <w:rPr>
                <w:rFonts w:cstheme="minorHAnsi"/>
                <w:bCs/>
                <w:iCs/>
                <w:sz w:val="18"/>
                <w:szCs w:val="18"/>
              </w:rPr>
              <w:t xml:space="preserve">Wszystkie zaplanowane zadania i kamienie milowe zostały zrealizowane. </w:t>
            </w:r>
          </w:p>
          <w:p w14:paraId="42D1D221" w14:textId="77777777" w:rsidR="00B37BE0" w:rsidRDefault="00B37BE0" w:rsidP="00E52249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W w:w="45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39"/>
              <w:gridCol w:w="1827"/>
            </w:tblGrid>
            <w:tr w:rsidR="00526EB8" w:rsidRPr="00A469C7" w14:paraId="2CBFAD2B" w14:textId="77777777" w:rsidTr="00161DDF">
              <w:trPr>
                <w:trHeight w:val="779"/>
                <w:tblHeader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6770BA4" w14:textId="77777777" w:rsidR="00AD0979" w:rsidRPr="00A469C7" w:rsidRDefault="00AD0979" w:rsidP="00AD0979">
                  <w:pPr>
                    <w:jc w:val="both"/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Nazwa zadania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064947" w14:textId="77777777" w:rsidR="00161DDF" w:rsidRDefault="00AD0979" w:rsidP="00161DDF">
                  <w:pPr>
                    <w:spacing w:after="0"/>
                    <w:jc w:val="both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Zakres rzeczowy</w:t>
                  </w:r>
                </w:p>
                <w:p w14:paraId="2C35F333" w14:textId="77777777" w:rsidR="00AD0979" w:rsidRPr="00A469C7" w:rsidRDefault="00AD0979" w:rsidP="00161DDF">
                  <w:pPr>
                    <w:spacing w:after="0"/>
                    <w:jc w:val="both"/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odchyleń</w:t>
                  </w:r>
                </w:p>
              </w:tc>
            </w:tr>
            <w:tr w:rsidR="005516E3" w:rsidRPr="00A469C7" w14:paraId="734E54F1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30298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1 - Prace wspierające realizacje projektu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74F00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034BE8A0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1D8642" w14:textId="73EE3AEB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2 - Usługi zewnętrzne ds</w:t>
                  </w:r>
                  <w:r w:rsidR="00016F85">
                    <w:rPr>
                      <w:sz w:val="16"/>
                    </w:rPr>
                    <w:t>.</w:t>
                  </w:r>
                  <w:r w:rsidRPr="005516E3">
                    <w:rPr>
                      <w:sz w:val="16"/>
                    </w:rPr>
                    <w:t xml:space="preserve"> IT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455C9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12EA2BD9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7E51F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3 - Zadania merytoryczne bezpośrednio związane z dostarczeniem produktów projektu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D8313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4A061B68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0E34C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4 - Modernizacja środowiska sprzętowo-systemowego CPD dla składnic danych i informacji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CAEAF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466F9678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64896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5 - Rozbudowa Platformy Udostępniania Wynikowych Informacji Statystycznych i innych zasobów informacyjnych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B913C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4B8C24EF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EC542F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6 - Modernizacja systemu akceleracji ruchu w sieci WAN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659B4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2ADB53D5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71B6CB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7 - Rozbudowa sieci bezprzewodowej oraz modernizacja systemów administracyjnych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E7F02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3048DF36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BDFA1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 xml:space="preserve">Zadanie 8 - Serwis Desk 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F07BF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2972DCA5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7F6A0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9 - Przygotowanie i przeprowadzenie szkoleń zw. z Projektem WROTA STATYSTYKI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D5A6D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21C715D0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875FA3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 xml:space="preserve">Zadanie 10 - Promocja 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CC4D0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4A472A" w:rsidRPr="00A469C7" w14:paraId="2CA87AAC" w14:textId="77777777" w:rsidTr="00161DDF">
              <w:trPr>
                <w:trHeight w:val="57"/>
              </w:trPr>
              <w:tc>
                <w:tcPr>
                  <w:tcW w:w="3469" w:type="pct"/>
                </w:tcPr>
                <w:p w14:paraId="6D9C9385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- Koszty pośrednie</w:t>
                  </w:r>
                </w:p>
              </w:tc>
              <w:tc>
                <w:tcPr>
                  <w:tcW w:w="1531" w:type="pct"/>
                </w:tcPr>
                <w:p w14:paraId="2AD446AF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</w:tbl>
          <w:p w14:paraId="5676DCD1" w14:textId="77777777" w:rsidR="00B37BE0" w:rsidRDefault="00B37BE0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290230F1" w14:textId="77777777" w:rsidR="00AD0979" w:rsidRDefault="00AD0979" w:rsidP="00E52249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6295" w:type="dxa"/>
              <w:tblLook w:val="04A0" w:firstRow="1" w:lastRow="0" w:firstColumn="1" w:lastColumn="0" w:noHBand="0" w:noVBand="1"/>
            </w:tblPr>
            <w:tblGrid>
              <w:gridCol w:w="1340"/>
              <w:gridCol w:w="1135"/>
              <w:gridCol w:w="1057"/>
              <w:gridCol w:w="1011"/>
              <w:gridCol w:w="2040"/>
            </w:tblGrid>
            <w:tr w:rsidR="005516E3" w:rsidRPr="008E01AA" w14:paraId="607E168E" w14:textId="77777777" w:rsidTr="005516E3">
              <w:tc>
                <w:tcPr>
                  <w:tcW w:w="1340" w:type="dxa"/>
                  <w:vMerge w:val="restart"/>
                  <w:vAlign w:val="center"/>
                </w:tcPr>
                <w:p w14:paraId="541C606C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Kamień milowy</w:t>
                  </w:r>
                </w:p>
              </w:tc>
              <w:tc>
                <w:tcPr>
                  <w:tcW w:w="4955" w:type="dxa"/>
                  <w:gridSpan w:val="4"/>
                  <w:vAlign w:val="center"/>
                </w:tcPr>
                <w:p w14:paraId="5FABE507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Termin osiągnięcia i przyczyna opóźnienia</w:t>
                  </w:r>
                </w:p>
              </w:tc>
            </w:tr>
            <w:tr w:rsidR="005516E3" w:rsidRPr="008E01AA" w14:paraId="7F28AF1D" w14:textId="77777777" w:rsidTr="005516E3">
              <w:tc>
                <w:tcPr>
                  <w:tcW w:w="1340" w:type="dxa"/>
                  <w:vMerge/>
                  <w:vAlign w:val="center"/>
                </w:tcPr>
                <w:p w14:paraId="60343DB2" w14:textId="77777777" w:rsidR="00175CC2" w:rsidRPr="00906AD3" w:rsidDel="00C40CAE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4F2FB605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Planowany – wynikający z podpisanego porozumienia</w:t>
                  </w:r>
                </w:p>
              </w:tc>
              <w:tc>
                <w:tcPr>
                  <w:tcW w:w="1062" w:type="dxa"/>
                  <w:vAlign w:val="center"/>
                </w:tcPr>
                <w:p w14:paraId="7466CE48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Planowany - po podpisanych aneksach</w:t>
                  </w:r>
                </w:p>
              </w:tc>
              <w:tc>
                <w:tcPr>
                  <w:tcW w:w="1011" w:type="dxa"/>
                  <w:vAlign w:val="center"/>
                </w:tcPr>
                <w:p w14:paraId="270492A6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Rzeczywisty</w:t>
                  </w:r>
                </w:p>
              </w:tc>
              <w:tc>
                <w:tcPr>
                  <w:tcW w:w="1747" w:type="dxa"/>
                </w:tcPr>
                <w:p w14:paraId="757AB2C2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Przyczyna opóźnienia</w:t>
                  </w:r>
                </w:p>
              </w:tc>
            </w:tr>
            <w:tr w:rsidR="005516E3" w:rsidRPr="00764424" w14:paraId="4CCF2A3E" w14:textId="77777777" w:rsidTr="005516E3">
              <w:tc>
                <w:tcPr>
                  <w:tcW w:w="1340" w:type="dxa"/>
                  <w:shd w:val="clear" w:color="auto" w:fill="auto"/>
                </w:tcPr>
                <w:p w14:paraId="56D2E871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Wyłonienie Wykonawcy usługi wsparcia zewnętrznego ds. IT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C0918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2020-04-30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5865D9F3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56671F69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10-2021</w:t>
                  </w:r>
                </w:p>
              </w:tc>
              <w:tc>
                <w:tcPr>
                  <w:tcW w:w="1747" w:type="dxa"/>
                </w:tcPr>
                <w:p w14:paraId="4D2CDAB5" w14:textId="6174A08E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 xml:space="preserve">konieczności ponownego uruchomienia postępowania przetargowego. </w:t>
                  </w:r>
                </w:p>
              </w:tc>
            </w:tr>
            <w:tr w:rsidR="005516E3" w:rsidRPr="00764424" w14:paraId="1DFC5E51" w14:textId="77777777" w:rsidTr="005516E3">
              <w:tc>
                <w:tcPr>
                  <w:tcW w:w="1340" w:type="dxa"/>
                  <w:shd w:val="clear" w:color="auto" w:fill="auto"/>
                </w:tcPr>
                <w:p w14:paraId="42947A38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projektu technicznego Systemu Metainformacji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18D2F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2020-06-30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033231EC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09-2020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7B1E927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10-2020</w:t>
                  </w:r>
                </w:p>
              </w:tc>
              <w:tc>
                <w:tcPr>
                  <w:tcW w:w="1747" w:type="dxa"/>
                </w:tcPr>
                <w:p w14:paraId="3F4A3C69" w14:textId="070C3969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 xml:space="preserve">bardzo dużego obciążenia zespołu projektowego innymi pilnymi pracami, m.in. związanymi z  powszechnym spisem rolnym. </w:t>
                  </w:r>
                </w:p>
              </w:tc>
            </w:tr>
            <w:tr w:rsidR="005516E3" w:rsidRPr="00764424" w14:paraId="52089249" w14:textId="77777777" w:rsidTr="005516E3">
              <w:tc>
                <w:tcPr>
                  <w:tcW w:w="1340" w:type="dxa"/>
                  <w:shd w:val="clear" w:color="auto" w:fill="auto"/>
                </w:tcPr>
                <w:p w14:paraId="75BAF88D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projektów technicznych Platformy Gromadzenia Danych oraz Systemów Przetwarzania Danych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E4318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2020-09-30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09C0AB97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12-2020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F83785A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747" w:type="dxa"/>
                </w:tcPr>
                <w:p w14:paraId="31ACECE3" w14:textId="426CFBC3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pracami, m.in. związanymi z  powszechnym spisem rolnym.</w:t>
                  </w:r>
                </w:p>
              </w:tc>
            </w:tr>
            <w:tr w:rsidR="005516E3" w:rsidRPr="00764424" w14:paraId="0CE32957" w14:textId="77777777" w:rsidTr="005516E3">
              <w:tc>
                <w:tcPr>
                  <w:tcW w:w="1340" w:type="dxa"/>
                  <w:shd w:val="clear" w:color="auto" w:fill="auto"/>
                </w:tcPr>
                <w:p w14:paraId="2DE0E1D9" w14:textId="581B668C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koncepcji modernizacji Platformy Udostępniania Wynikowych Informacji Statystycznych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innych zasobów informacyjnych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507D1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1E49A96E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0AF5A5E6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02-2021</w:t>
                  </w:r>
                </w:p>
              </w:tc>
              <w:tc>
                <w:tcPr>
                  <w:tcW w:w="1747" w:type="dxa"/>
                </w:tcPr>
                <w:p w14:paraId="0CEA203B" w14:textId="1988870F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 xml:space="preserve">Opóźnienie wynikało z 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pracami.</w:t>
                  </w:r>
                </w:p>
              </w:tc>
            </w:tr>
            <w:tr w:rsidR="005516E3" w:rsidRPr="00764424" w14:paraId="1DA9C231" w14:textId="77777777" w:rsidTr="005516E3">
              <w:tc>
                <w:tcPr>
                  <w:tcW w:w="1340" w:type="dxa"/>
                  <w:shd w:val="clear" w:color="auto" w:fill="auto"/>
                </w:tcPr>
                <w:p w14:paraId="01B5A109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prototypu Platformy Gromadzenia Danych Statystycznych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F931D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2021-06-30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14EB85E6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2A7C822D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747" w:type="dxa"/>
                </w:tcPr>
                <w:p w14:paraId="059AC5FA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Brak opóźnienia</w:t>
                  </w:r>
                </w:p>
              </w:tc>
            </w:tr>
            <w:tr w:rsidR="005516E3" w:rsidRPr="00764424" w14:paraId="138520E1" w14:textId="77777777" w:rsidTr="005516E3">
              <w:tc>
                <w:tcPr>
                  <w:tcW w:w="1340" w:type="dxa"/>
                  <w:shd w:val="clear" w:color="auto" w:fill="auto"/>
                </w:tcPr>
                <w:p w14:paraId="148B9863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lastRenderedPageBreak/>
                    <w:t>Opracowanie prototypu Systemów Przetwarzania Danych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1C57D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2021-09-30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23E216BE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38F31B2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747" w:type="dxa"/>
                </w:tcPr>
                <w:p w14:paraId="177235C2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Brak opóźnienia</w:t>
                  </w:r>
                </w:p>
              </w:tc>
            </w:tr>
            <w:tr w:rsidR="005516E3" w:rsidRPr="00764424" w14:paraId="1392FBB9" w14:textId="77777777" w:rsidTr="005516E3">
              <w:tc>
                <w:tcPr>
                  <w:tcW w:w="1340" w:type="dxa"/>
                  <w:shd w:val="clear" w:color="auto" w:fill="auto"/>
                </w:tcPr>
                <w:p w14:paraId="754B2390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prototypu Systemu Metainformacji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0449F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45756499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01-2022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43A11D72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05-2022</w:t>
                  </w:r>
                </w:p>
              </w:tc>
              <w:tc>
                <w:tcPr>
                  <w:tcW w:w="1747" w:type="dxa"/>
                </w:tcPr>
                <w:p w14:paraId="16F36C6B" w14:textId="13153D10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pracami.</w:t>
                  </w:r>
                </w:p>
              </w:tc>
            </w:tr>
            <w:tr w:rsidR="005516E3" w:rsidRPr="00764424" w14:paraId="6EE6491D" w14:textId="77777777" w:rsidTr="005516E3">
              <w:tc>
                <w:tcPr>
                  <w:tcW w:w="1340" w:type="dxa"/>
                  <w:shd w:val="clear" w:color="auto" w:fill="auto"/>
                </w:tcPr>
                <w:p w14:paraId="08CF9A30" w14:textId="77777777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Odbiór Portali Informacyjnych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ADCD6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2022-01-31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7BD6B676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09-2023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7722B9F6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1747" w:type="dxa"/>
                </w:tcPr>
                <w:p w14:paraId="0A44FE31" w14:textId="68E516D5" w:rsidR="00266C4A" w:rsidRDefault="00266C4A" w:rsidP="00266C4A">
                  <w:pPr>
                    <w:rPr>
                      <w:color w:val="000000"/>
                      <w:sz w:val="16"/>
                    </w:rPr>
                  </w:pPr>
                  <w:r w:rsidRPr="00266C4A">
                    <w:rPr>
                      <w:color w:val="000000"/>
                      <w:sz w:val="16"/>
                    </w:rPr>
                    <w:t xml:space="preserve">Opóźnienie wynikało z 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66C4A">
                    <w:rPr>
                      <w:color w:val="000000"/>
                      <w:sz w:val="16"/>
                    </w:rPr>
                    <w:t xml:space="preserve">wypowiedzenia umowy Wykonawcy Portalu Informacyjnego w lutym 2023 r. oraz rozpoczęcia realizacji zadania przez zespoły </w:t>
                  </w:r>
                  <w:r w:rsidR="00D54B40" w:rsidRPr="00266C4A">
                    <w:rPr>
                      <w:color w:val="000000"/>
                      <w:sz w:val="16"/>
                    </w:rPr>
                    <w:t>W</w:t>
                  </w:r>
                  <w:r w:rsidRPr="00266C4A">
                    <w:rPr>
                      <w:color w:val="000000"/>
                      <w:sz w:val="16"/>
                    </w:rPr>
                    <w:t>łasne</w:t>
                  </w:r>
                  <w:r w:rsidR="00D54B40">
                    <w:rPr>
                      <w:color w:val="000000"/>
                      <w:sz w:val="16"/>
                    </w:rPr>
                    <w:t>.</w:t>
                  </w:r>
                </w:p>
                <w:p w14:paraId="13D85FF7" w14:textId="77777777" w:rsidR="00070AC8" w:rsidRPr="005516E3" w:rsidRDefault="00070AC8" w:rsidP="00070AC8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5516E3" w:rsidRPr="00764424" w14:paraId="3CE4FD87" w14:textId="77777777" w:rsidTr="005516E3">
              <w:tc>
                <w:tcPr>
                  <w:tcW w:w="1340" w:type="dxa"/>
                  <w:shd w:val="clear" w:color="auto" w:fill="auto"/>
                </w:tcPr>
                <w:p w14:paraId="138FDB31" w14:textId="1956C39F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bookmarkStart w:id="0" w:name="_Hlk108091289"/>
                  <w:r w:rsidRPr="005516E3">
                    <w:rPr>
                      <w:color w:val="000000"/>
                      <w:sz w:val="16"/>
                    </w:rPr>
                    <w:t>Przeprowadzenie testów akceptacyjnych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podpisanie protokołów odbioru komponentów systemu</w:t>
                  </w:r>
                  <w:bookmarkEnd w:id="0"/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8B1CF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2022-03-31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6429FEDB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03-2023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A22FB4A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04-2023</w:t>
                  </w:r>
                </w:p>
              </w:tc>
              <w:tc>
                <w:tcPr>
                  <w:tcW w:w="1747" w:type="dxa"/>
                </w:tcPr>
                <w:p w14:paraId="6B0F16A7" w14:textId="2E9365F8" w:rsidR="00070AC8" w:rsidRPr="005516E3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161DDF">
                    <w:rPr>
                      <w:color w:val="000000"/>
                      <w:sz w:val="16"/>
                    </w:rPr>
                    <w:t>Opóźnienie wynikało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="009B6C58" w:rsidRPr="00161DDF">
                    <w:rPr>
                      <w:color w:val="000000"/>
                      <w:sz w:val="16"/>
                    </w:rPr>
                    <w:t xml:space="preserve">bardzo dużego obciążenia zespołu projektowego innymi pilnymi pracami. </w:t>
                  </w:r>
                </w:p>
              </w:tc>
            </w:tr>
            <w:tr w:rsidR="005516E3" w:rsidRPr="00764424" w14:paraId="01FB0804" w14:textId="77777777" w:rsidTr="005516E3">
              <w:tc>
                <w:tcPr>
                  <w:tcW w:w="1340" w:type="dxa"/>
                  <w:shd w:val="clear" w:color="auto" w:fill="auto"/>
                </w:tcPr>
                <w:p w14:paraId="37DEFD6F" w14:textId="01EDCE56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Testy akceptacyjne, ewentualne modyfikacje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odbiór systemu WROTA STATYSTYKI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D598E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155141FA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695CDFCC" w14:textId="0ABA231A" w:rsidR="00070AC8" w:rsidRPr="005516E3" w:rsidRDefault="003B3924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3B3924">
                    <w:rPr>
                      <w:color w:val="000000"/>
                      <w:sz w:val="16"/>
                    </w:rPr>
                    <w:t>12-2023</w:t>
                  </w:r>
                </w:p>
              </w:tc>
              <w:tc>
                <w:tcPr>
                  <w:tcW w:w="1747" w:type="dxa"/>
                </w:tcPr>
                <w:p w14:paraId="2B02817F" w14:textId="67BBB920" w:rsidR="002C3B1F" w:rsidRPr="002C3B1F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K</w:t>
                  </w:r>
                  <w:r w:rsidR="005C5D28">
                    <w:rPr>
                      <w:color w:val="000000"/>
                      <w:sz w:val="16"/>
                    </w:rPr>
                    <w:t>M</w:t>
                  </w:r>
                  <w:r>
                    <w:rPr>
                      <w:color w:val="000000"/>
                      <w:sz w:val="16"/>
                    </w:rPr>
                    <w:t xml:space="preserve"> został o</w:t>
                  </w:r>
                  <w:r w:rsidRPr="00110369">
                    <w:rPr>
                      <w:color w:val="000000"/>
                      <w:sz w:val="16"/>
                    </w:rPr>
                    <w:t>siągnięty 29.12.2023 r.</w:t>
                  </w:r>
                  <w:r>
                    <w:rPr>
                      <w:color w:val="000000"/>
                      <w:sz w:val="16"/>
                    </w:rPr>
                    <w:t xml:space="preserve"> </w:t>
                  </w:r>
                  <w:r w:rsidR="009B7870" w:rsidRPr="003B3924">
                    <w:rPr>
                      <w:color w:val="000000"/>
                      <w:sz w:val="16"/>
                    </w:rPr>
                    <w:t>Opóźnienie wynikało</w:t>
                  </w:r>
                  <w:r w:rsidR="009B7870">
                    <w:rPr>
                      <w:color w:val="000000"/>
                      <w:sz w:val="16"/>
                    </w:rPr>
                    <w:t xml:space="preserve">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="009B7870">
                    <w:rPr>
                      <w:color w:val="000000"/>
                      <w:sz w:val="16"/>
                    </w:rPr>
                    <w:t xml:space="preserve">realizacji prac </w:t>
                  </w:r>
                  <w:r w:rsidR="009B7870" w:rsidRPr="003B3924">
                    <w:rPr>
                      <w:color w:val="000000"/>
                      <w:sz w:val="16"/>
                    </w:rPr>
                    <w:t>nad opracowaniem raportu z testów i rekomendacji</w:t>
                  </w:r>
                  <w:r w:rsidR="009B7870">
                    <w:rPr>
                      <w:color w:val="000000"/>
                      <w:sz w:val="16"/>
                    </w:rPr>
                    <w:t xml:space="preserve"> oraz wprowadzenia modyfikacji wynikających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="009B7870">
                    <w:rPr>
                      <w:color w:val="000000"/>
                      <w:sz w:val="16"/>
                    </w:rPr>
                    <w:t>rekomendacji.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1A2EA1FB" w14:textId="596DFD4E" w:rsidR="002C3B1F" w:rsidRPr="002C3B1F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 w:rsidRPr="002C3B1F">
                    <w:rPr>
                      <w:color w:val="000000"/>
                      <w:sz w:val="16"/>
                    </w:rPr>
                    <w:t>Po zakończeniu testów akceptacyjnych został opracowany „Raport z testów akceptacyjnych systemu WROTA STATYSTYKI (pilotaż)”. Raport był poddany ocenie liderów zespołów, a następnie przez nich zaakceptowany. 21.12.2023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r. Raport został zatwierdzony przez Kierownika Projektu.</w:t>
                  </w:r>
                </w:p>
                <w:p w14:paraId="119AFD7B" w14:textId="25823968" w:rsidR="00070AC8" w:rsidRPr="005516E3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 w:rsidRPr="002C3B1F">
                    <w:rPr>
                      <w:color w:val="000000"/>
                      <w:sz w:val="16"/>
                    </w:rPr>
                    <w:t>28.12.2023 r. dokonano przeglądu produktu - System WROTA STATYSTYKI. Produkt został zaakceptowany zgodnie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procedurą przeglądu przez liderów zespołów uczestniczących w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przeglądzie.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29.12.2023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r. Kierownik Projektu zatwierdził produkt poprzez podpisanie protokołu „Zatwierdzenie przeglądu produktu”</w:t>
                  </w:r>
                  <w:r w:rsidR="00833E99">
                    <w:rPr>
                      <w:color w:val="000000"/>
                      <w:sz w:val="16"/>
                    </w:rPr>
                    <w:t>.</w:t>
                  </w:r>
                </w:p>
              </w:tc>
            </w:tr>
          </w:tbl>
          <w:p w14:paraId="166F3B00" w14:textId="77777777" w:rsidR="00AD0979" w:rsidRDefault="00AD0979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443735A9" w14:textId="77777777" w:rsidR="00047C95" w:rsidRDefault="00047C95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151269E4" w14:textId="77777777" w:rsidR="00047C95" w:rsidRDefault="00047C95" w:rsidP="00047C95">
            <w:pPr>
              <w:widowContro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47C9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7E750CF7" w14:textId="77777777" w:rsidR="00047C95" w:rsidRPr="00047C95" w:rsidRDefault="00047C95" w:rsidP="00047C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W w:w="6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27"/>
              <w:gridCol w:w="1985"/>
            </w:tblGrid>
            <w:tr w:rsidR="00047C95" w14:paraId="43CC863A" w14:textId="77777777" w:rsidTr="005516E3">
              <w:trPr>
                <w:trHeight w:val="288"/>
                <w:tblHeader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B7F6853" w14:textId="77777777" w:rsidR="00047C95" w:rsidRDefault="00047C95" w:rsidP="005516E3"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1D21717" w14:textId="77777777" w:rsidR="00047C95" w:rsidRDefault="00047C95" w:rsidP="00047C95">
                  <w:pPr>
                    <w:spacing w:after="0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047C95" w14:paraId="1C7BC22A" w14:textId="77777777" w:rsidTr="005516E3">
              <w:trPr>
                <w:trHeight w:val="380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84633BE" w14:textId="77777777" w:rsidR="00047C95" w:rsidRPr="00F67322" w:rsidRDefault="00047C95" w:rsidP="00047C95">
                  <w:pPr>
                    <w:spacing w:after="0" w:line="240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zarządzający i monitorujący sieć;</w:t>
                  </w:r>
                </w:p>
                <w:p w14:paraId="583BBD3D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zarządzający i monitorujący sieć WAN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6D7B65D" w14:textId="77777777" w:rsidR="00047C95" w:rsidRPr="00F67322" w:rsidRDefault="00047C95" w:rsidP="00047C95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02-2022</w:t>
                  </w:r>
                </w:p>
              </w:tc>
            </w:tr>
            <w:tr w:rsidR="00047C95" w14:paraId="29611C58" w14:textId="77777777" w:rsidTr="005516E3">
              <w:trPr>
                <w:trHeight w:val="250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2D47775" w14:textId="77777777" w:rsidR="00047C95" w:rsidRPr="005516E3" w:rsidRDefault="00047C95" w:rsidP="005516E3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 xml:space="preserve">System backupowy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BF7B82B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09-2021</w:t>
                  </w:r>
                </w:p>
              </w:tc>
            </w:tr>
            <w:tr w:rsidR="00047C95" w14:paraId="11B759A5" w14:textId="77777777" w:rsidTr="005516E3">
              <w:trPr>
                <w:trHeight w:val="278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D8923D4" w14:textId="77777777" w:rsidR="00047C95" w:rsidRPr="005516E3" w:rsidRDefault="00047C95" w:rsidP="00F67322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Serwis Desk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13036E8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05-2022</w:t>
                  </w:r>
                </w:p>
              </w:tc>
            </w:tr>
            <w:tr w:rsidR="00047C95" w14:paraId="6ABA1018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1F6CFFB" w14:textId="77777777" w:rsidR="00047C95" w:rsidRPr="005516E3" w:rsidRDefault="00047C95" w:rsidP="005516E3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zarządzający dostępem do sieci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4959D23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01-2022</w:t>
                  </w:r>
                </w:p>
              </w:tc>
            </w:tr>
            <w:tr w:rsidR="00047C95" w14:paraId="259BD422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F085463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Jednostek Statystycznych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D9A5AD7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07-2022</w:t>
                  </w:r>
                </w:p>
              </w:tc>
            </w:tr>
            <w:tr w:rsidR="00047C95" w:rsidRPr="009A7A7C" w14:paraId="526D3504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625D0B9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Metainformacji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3C54822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2DE02F26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297AD2D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Surowych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FDB5F34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10-2022</w:t>
                  </w:r>
                </w:p>
              </w:tc>
            </w:tr>
            <w:tr w:rsidR="00047C95" w14:paraId="243C1E54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C7D95CE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Operacyjnych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8E8C0E0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14:paraId="082C28CD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16444E6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Analitycznych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EB3F0DC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:rsidRPr="00422A02" w14:paraId="2E71D60D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1260423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Potrzeb Użytkowników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A796704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0517B4C4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02D8324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Geoprzestrzennych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D0CF4CA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</w:tr>
            <w:tr w:rsidR="00047C95" w14:paraId="179B1C95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97E6C56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Portale Informacyjne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20F14BC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0B2E034D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4A44105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bookmarkStart w:id="1" w:name="_Hlk117166237"/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Platforma Gromadzenia Danych Statystycznych </w:t>
                  </w:r>
                  <w:bookmarkEnd w:id="1"/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C5F32D6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12-2023</w:t>
                  </w:r>
                </w:p>
              </w:tc>
            </w:tr>
            <w:tr w:rsidR="00047C95" w14:paraId="30029E1D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F41665A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Analityczny System Przetwarzania Danych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B00928B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14:paraId="5ACA5E63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F787A2D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Platforma Udostępniania Wynikowych Informacji Statystycznych i Innych Zasobów Informacyjnych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BF400A9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</w:tbl>
          <w:p w14:paraId="2093D3B5" w14:textId="77777777" w:rsidR="00047C95" w:rsidRPr="00764424" w:rsidRDefault="00047C95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622D9521" w14:textId="77777777" w:rsidR="00F67322" w:rsidRPr="00F67322" w:rsidRDefault="00F67322" w:rsidP="00E20ADA">
            <w:pPr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67322">
              <w:rPr>
                <w:rFonts w:cstheme="minorHAnsi"/>
                <w:color w:val="000000"/>
                <w:sz w:val="18"/>
                <w:szCs w:val="18"/>
              </w:rPr>
              <w:t>Zmiany i przyczyna zmian w zakresie głównych produktów projektu w stosunku do pierwotnego planu dotyczą:</w:t>
            </w:r>
          </w:p>
          <w:p w14:paraId="4C10DB69" w14:textId="3EC4875E" w:rsidR="002450C4" w:rsidRPr="002450C4" w:rsidRDefault="00F67322" w:rsidP="00E20ADA">
            <w:pPr>
              <w:jc w:val="both"/>
              <w:rPr>
                <w:i/>
                <w:sz w:val="18"/>
                <w:szCs w:val="20"/>
              </w:rPr>
            </w:pPr>
            <w:r w:rsidRPr="00F67322">
              <w:rPr>
                <w:rFonts w:cstheme="minorHAnsi"/>
                <w:color w:val="000000"/>
                <w:sz w:val="18"/>
                <w:szCs w:val="18"/>
              </w:rPr>
              <w:t>Wszystkie produkty zostały zrealizowane zgodnie z planem i nie było na etapie realizacji projektu konieczne wprowadzanie żadnych zmian.</w:t>
            </w:r>
          </w:p>
        </w:tc>
      </w:tr>
      <w:tr w:rsidR="004D135D" w:rsidRPr="002450C4" w14:paraId="71F2FA13" w14:textId="77777777" w:rsidTr="00266C4A">
        <w:tc>
          <w:tcPr>
            <w:tcW w:w="562" w:type="dxa"/>
          </w:tcPr>
          <w:p w14:paraId="429DA938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3571A2BC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521" w:type="dxa"/>
          </w:tcPr>
          <w:p w14:paraId="385D64DB" w14:textId="64A2253B" w:rsidR="004D135D" w:rsidRPr="00833E99" w:rsidRDefault="00760BB9" w:rsidP="00E30008">
            <w:pPr>
              <w:rPr>
                <w:bCs/>
                <w:sz w:val="18"/>
                <w:szCs w:val="20"/>
              </w:rPr>
            </w:pPr>
            <w:r w:rsidRPr="00833E99">
              <w:rPr>
                <w:bCs/>
                <w:sz w:val="18"/>
                <w:szCs w:val="20"/>
              </w:rPr>
              <w:t>Nie dotycz</w:t>
            </w:r>
            <w:r w:rsidR="00DA34A0" w:rsidRPr="00833E99">
              <w:rPr>
                <w:bCs/>
                <w:sz w:val="18"/>
                <w:szCs w:val="20"/>
              </w:rPr>
              <w:t>y</w:t>
            </w:r>
          </w:p>
        </w:tc>
      </w:tr>
      <w:tr w:rsidR="00920CE8" w:rsidRPr="002450C4" w14:paraId="501729C3" w14:textId="77777777" w:rsidTr="00266C4A">
        <w:tc>
          <w:tcPr>
            <w:tcW w:w="562" w:type="dxa"/>
          </w:tcPr>
          <w:p w14:paraId="1170A6E9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29C003CD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521" w:type="dxa"/>
          </w:tcPr>
          <w:p w14:paraId="17EE659D" w14:textId="77777777" w:rsidR="00F67322" w:rsidRPr="005516E3" w:rsidRDefault="00F67322" w:rsidP="00F67322">
            <w:pPr>
              <w:rPr>
                <w:sz w:val="16"/>
              </w:rPr>
            </w:pPr>
            <w:r w:rsidRPr="005516E3">
              <w:rPr>
                <w:sz w:val="16"/>
              </w:rPr>
              <w:t>W ramach projektu zaplanowano następujące wskaźniki efektywności projektu (KPI):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48"/>
              <w:gridCol w:w="702"/>
              <w:gridCol w:w="940"/>
              <w:gridCol w:w="988"/>
              <w:gridCol w:w="1297"/>
            </w:tblGrid>
            <w:tr w:rsidR="00F67322" w:rsidRPr="00F67322" w14:paraId="7109B129" w14:textId="77777777" w:rsidTr="005516E3">
              <w:tc>
                <w:tcPr>
                  <w:tcW w:w="2248" w:type="dxa"/>
                  <w:vAlign w:val="center"/>
                </w:tcPr>
                <w:p w14:paraId="2FBCE824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Nazwa</w:t>
                  </w:r>
                </w:p>
              </w:tc>
              <w:tc>
                <w:tcPr>
                  <w:tcW w:w="702" w:type="dxa"/>
                  <w:vAlign w:val="center"/>
                </w:tcPr>
                <w:p w14:paraId="7D227814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Jedn. miary</w:t>
                  </w:r>
                </w:p>
              </w:tc>
              <w:tc>
                <w:tcPr>
                  <w:tcW w:w="940" w:type="dxa"/>
                  <w:vAlign w:val="center"/>
                </w:tcPr>
                <w:p w14:paraId="2E6590A7" w14:textId="77777777" w:rsidR="00F67322" w:rsidRPr="005516E3" w:rsidRDefault="00F67322" w:rsidP="00F67322">
                  <w:pPr>
                    <w:jc w:val="center"/>
                    <w:rPr>
                      <w:b/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Wartość</w:t>
                  </w:r>
                </w:p>
                <w:p w14:paraId="096B140A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docelowa</w:t>
                  </w:r>
                </w:p>
              </w:tc>
              <w:tc>
                <w:tcPr>
                  <w:tcW w:w="988" w:type="dxa"/>
                  <w:vAlign w:val="center"/>
                </w:tcPr>
                <w:p w14:paraId="6BEC6E0A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Planowany termin osiągnięcia</w:t>
                  </w:r>
                </w:p>
              </w:tc>
              <w:tc>
                <w:tcPr>
                  <w:tcW w:w="1297" w:type="dxa"/>
                  <w:vAlign w:val="center"/>
                </w:tcPr>
                <w:p w14:paraId="68466E7D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Wartość osiągnięta od początku realizacji projektu</w:t>
                  </w:r>
                </w:p>
              </w:tc>
            </w:tr>
            <w:tr w:rsidR="004A472A" w:rsidRPr="00F67322" w14:paraId="16296FA7" w14:textId="77777777" w:rsidTr="005516E3">
              <w:tc>
                <w:tcPr>
                  <w:tcW w:w="2248" w:type="dxa"/>
                  <w:shd w:val="clear" w:color="auto" w:fill="auto"/>
                </w:tcPr>
                <w:p w14:paraId="1BDE667C" w14:textId="6A1D4EFE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3E0E6ECD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4ABD7A73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620F6EA8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05151DEB" w14:textId="77777777" w:rsidR="00591A8D" w:rsidRPr="00F67322" w:rsidRDefault="00097C2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591A8D" w:rsidRPr="00F67322" w14:paraId="33329FCA" w14:textId="77777777" w:rsidTr="00591A8D">
              <w:tc>
                <w:tcPr>
                  <w:tcW w:w="2248" w:type="dxa"/>
                  <w:shd w:val="clear" w:color="auto" w:fill="auto"/>
                </w:tcPr>
                <w:p w14:paraId="4EAD24BF" w14:textId="77777777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63678D60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16A77B7D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80 000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32391532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52EEEE23" w14:textId="6B9B7FE9" w:rsidR="00591A8D" w:rsidRPr="00F67322" w:rsidRDefault="003F2622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</w:rPr>
                    <w:t>295 117</w:t>
                  </w:r>
                </w:p>
              </w:tc>
            </w:tr>
            <w:tr w:rsidR="004A472A" w:rsidRPr="00F67322" w14:paraId="0C03D783" w14:textId="77777777" w:rsidTr="003F2622">
              <w:trPr>
                <w:trHeight w:val="301"/>
              </w:trPr>
              <w:tc>
                <w:tcPr>
                  <w:tcW w:w="2248" w:type="dxa"/>
                  <w:shd w:val="clear" w:color="auto" w:fill="auto"/>
                </w:tcPr>
                <w:p w14:paraId="3828D183" w14:textId="77777777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Liczba utworzonych API 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10FA7339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73230302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21375180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623E5305" w14:textId="77777777" w:rsidR="00591A8D" w:rsidRPr="00F67322" w:rsidRDefault="00097C2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591A8D" w:rsidRPr="00F67322" w14:paraId="6E00B1A7" w14:textId="77777777" w:rsidTr="00591A8D">
              <w:tc>
                <w:tcPr>
                  <w:tcW w:w="2248" w:type="dxa"/>
                  <w:shd w:val="clear" w:color="auto" w:fill="auto"/>
                </w:tcPr>
                <w:p w14:paraId="0A6F7743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713F016E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1926CCBA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0088C77A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1A5946E0" w14:textId="77777777" w:rsidR="00591A8D" w:rsidRPr="00591A8D" w:rsidRDefault="003F2622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591A8D" w:rsidRPr="00F67322" w14:paraId="59CD2709" w14:textId="77777777" w:rsidTr="00591A8D">
              <w:tc>
                <w:tcPr>
                  <w:tcW w:w="2248" w:type="dxa"/>
                  <w:shd w:val="clear" w:color="auto" w:fill="auto"/>
                </w:tcPr>
                <w:p w14:paraId="2BAC3470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Procent danych zawartych w Składnicy Danych Publikacyjnych opisanych metadanymi</w:t>
                  </w:r>
                </w:p>
              </w:tc>
              <w:tc>
                <w:tcPr>
                  <w:tcW w:w="70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86489FA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40DF4C5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9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73DED6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38BD90" w14:textId="77777777" w:rsidR="00591A8D" w:rsidRPr="00591A8D" w:rsidRDefault="00097C2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</w:tr>
            <w:tr w:rsidR="00526EB8" w:rsidRPr="00F67322" w14:paraId="1C1EFBAC" w14:textId="77777777" w:rsidTr="00591A8D">
              <w:tc>
                <w:tcPr>
                  <w:tcW w:w="224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E5F696D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pracowników służb statystycznych niebędących pracownikami IT objętych wsparciem szkoleniowym.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5C3651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9C9258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A740C5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6C705A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</w:tr>
          </w:tbl>
          <w:p w14:paraId="6BA9BA31" w14:textId="77777777" w:rsidR="00644C99" w:rsidRDefault="00644C99" w:rsidP="00F67322">
            <w:pPr>
              <w:widowControl w:val="0"/>
              <w:jc w:val="both"/>
              <w:rPr>
                <w:b/>
                <w:sz w:val="16"/>
              </w:rPr>
            </w:pPr>
          </w:p>
          <w:p w14:paraId="6958D94B" w14:textId="77777777" w:rsidR="00F67322" w:rsidRPr="003F2622" w:rsidRDefault="00F67322" w:rsidP="00F67322">
            <w:pPr>
              <w:widowControl w:val="0"/>
              <w:jc w:val="both"/>
              <w:rPr>
                <w:b/>
                <w:sz w:val="16"/>
              </w:rPr>
            </w:pPr>
            <w:r w:rsidRPr="003F2622">
              <w:rPr>
                <w:b/>
                <w:sz w:val="16"/>
              </w:rPr>
              <w:t>Pomiar wpływu zrealizowanego projektu oraz faktyczne wykorzystanie usług/produktów wytworzonych w ramach projektu po realizacji projektu mierzony będzie poprzez kontynuację monitorowania poniższego wskaźnika rezultatu: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85"/>
              <w:gridCol w:w="722"/>
              <w:gridCol w:w="993"/>
              <w:gridCol w:w="1064"/>
              <w:gridCol w:w="1225"/>
            </w:tblGrid>
            <w:tr w:rsidR="00526EB8" w:rsidRPr="00F67322" w14:paraId="5B144FF9" w14:textId="77777777" w:rsidTr="00591A8D">
              <w:tc>
                <w:tcPr>
                  <w:tcW w:w="2185" w:type="dxa"/>
                  <w:vAlign w:val="center"/>
                </w:tcPr>
                <w:p w14:paraId="1094F6E1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Nazwa</w:t>
                  </w:r>
                </w:p>
              </w:tc>
              <w:tc>
                <w:tcPr>
                  <w:tcW w:w="708" w:type="dxa"/>
                  <w:vAlign w:val="center"/>
                </w:tcPr>
                <w:p w14:paraId="3DCFC70B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jedn. miary</w:t>
                  </w:r>
                </w:p>
              </w:tc>
              <w:tc>
                <w:tcPr>
                  <w:tcW w:w="993" w:type="dxa"/>
                  <w:vAlign w:val="center"/>
                </w:tcPr>
                <w:p w14:paraId="6713B867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Wartość docelowa</w:t>
                  </w:r>
                </w:p>
              </w:tc>
              <w:tc>
                <w:tcPr>
                  <w:tcW w:w="1064" w:type="dxa"/>
                  <w:vAlign w:val="bottom"/>
                </w:tcPr>
                <w:p w14:paraId="7A96253A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Planowany termin osiągnięcia</w:t>
                  </w:r>
                </w:p>
              </w:tc>
              <w:tc>
                <w:tcPr>
                  <w:tcW w:w="1225" w:type="dxa"/>
                  <w:vAlign w:val="center"/>
                </w:tcPr>
                <w:p w14:paraId="6D1F0BCB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Wartość osiągnięta</w:t>
                  </w:r>
                </w:p>
              </w:tc>
            </w:tr>
            <w:tr w:rsidR="004A472A" w:rsidRPr="00F67322" w14:paraId="0F2DF548" w14:textId="77777777" w:rsidTr="003F2622">
              <w:tc>
                <w:tcPr>
                  <w:tcW w:w="2185" w:type="dxa"/>
                  <w:shd w:val="clear" w:color="auto" w:fill="auto"/>
                </w:tcPr>
                <w:p w14:paraId="354CEC95" w14:textId="77777777" w:rsidR="00591A8D" w:rsidRPr="003F2622" w:rsidRDefault="00591A8D" w:rsidP="00591A8D">
                  <w:pPr>
                    <w:widowControl w:val="0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Liczba pobrań/odtworzeń dokumentów zawierających informacje sektora publicznego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31CE3E6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Szt./rok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65FCB3D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1 000 000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</w:tcPr>
                <w:p w14:paraId="0404D774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  <w:vertAlign w:val="superscript"/>
                    </w:rPr>
                  </w:pPr>
                  <w:r w:rsidRPr="003F2622">
                    <w:rPr>
                      <w:color w:val="000000"/>
                      <w:sz w:val="16"/>
                    </w:rPr>
                    <w:t>12-2024</w:t>
                  </w:r>
                  <w:r w:rsidRPr="003F2622">
                    <w:rPr>
                      <w:color w:val="000000"/>
                      <w:sz w:val="16"/>
                      <w:vertAlign w:val="superscript"/>
                    </w:rPr>
                    <w:t>*</w:t>
                  </w:r>
                </w:p>
              </w:tc>
              <w:tc>
                <w:tcPr>
                  <w:tcW w:w="1225" w:type="dxa"/>
                  <w:shd w:val="clear" w:color="auto" w:fill="auto"/>
                  <w:vAlign w:val="center"/>
                </w:tcPr>
                <w:p w14:paraId="48CA2D05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14:paraId="7127842D" w14:textId="77777777" w:rsidR="00F67322" w:rsidRPr="003F2622" w:rsidRDefault="00F67322" w:rsidP="00F67322">
            <w:pPr>
              <w:rPr>
                <w:sz w:val="16"/>
              </w:rPr>
            </w:pPr>
            <w:r w:rsidRPr="003F2622">
              <w:rPr>
                <w:sz w:val="16"/>
              </w:rPr>
              <w:t>* wskaźnik rezultatu projektu do osiągnięcia w terminie 12 miesięcy od zakończenia realizacji projektu.</w:t>
            </w:r>
          </w:p>
          <w:p w14:paraId="140694F5" w14:textId="77777777" w:rsidR="00C526C8" w:rsidRPr="00833E99" w:rsidRDefault="00C526C8" w:rsidP="00E20ADA">
            <w:pPr>
              <w:spacing w:before="120"/>
              <w:ind w:left="102"/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Cele projektu są spójne z dokumentami strategicznymi, w których podkreśla się rolę przygotowania i udostępniania informacji sektora publicznego (ISP). W szczególności projekt jest spójny z: </w:t>
            </w:r>
          </w:p>
          <w:p w14:paraId="5B8D2FFA" w14:textId="77777777" w:rsidR="00C526C8" w:rsidRPr="00833E99" w:rsidRDefault="00C526C8" w:rsidP="00DA34A0">
            <w:pPr>
              <w:pStyle w:val="Akapitzlist"/>
              <w:numPr>
                <w:ilvl w:val="0"/>
                <w:numId w:val="7"/>
              </w:numPr>
              <w:spacing w:before="120"/>
              <w:ind w:left="528" w:hanging="426"/>
              <w:contextualSpacing w:val="0"/>
              <w:jc w:val="both"/>
              <w:rPr>
                <w:sz w:val="18"/>
              </w:rPr>
            </w:pPr>
            <w:r w:rsidRPr="00833E99">
              <w:rPr>
                <w:b/>
                <w:sz w:val="18"/>
              </w:rPr>
              <w:lastRenderedPageBreak/>
              <w:t>Programem Zintegrowanej Informatyzacji Państwa</w:t>
            </w:r>
            <w:r w:rsidRPr="00833E99">
              <w:rPr>
                <w:sz w:val="18"/>
              </w:rPr>
              <w:t xml:space="preserve"> – kierunek interwencji Otwarty Rząd i wspieranie rozwoju społeczeństwa obywatelskiego, a w jego ramach: </w:t>
            </w:r>
          </w:p>
          <w:p w14:paraId="527673C5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sprawne zarządzanie  informacją publiczną, w tym umożliwienie ponownego wykorzystywania publicznych zasobów informacyjnych,</w:t>
            </w:r>
          </w:p>
          <w:p w14:paraId="25442043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dostępność dla jak najszerszych kręgów odbiorców;</w:t>
            </w:r>
          </w:p>
          <w:p w14:paraId="4196800F" w14:textId="6DEEE4E1" w:rsidR="00C526C8" w:rsidRPr="00833E99" w:rsidRDefault="00C526C8" w:rsidP="00DA34A0">
            <w:pPr>
              <w:pStyle w:val="Akapitzlist"/>
              <w:numPr>
                <w:ilvl w:val="0"/>
                <w:numId w:val="7"/>
              </w:numPr>
              <w:spacing w:before="120"/>
              <w:ind w:left="528" w:hanging="426"/>
              <w:contextualSpacing w:val="0"/>
              <w:jc w:val="both"/>
              <w:rPr>
                <w:b/>
                <w:sz w:val="18"/>
              </w:rPr>
            </w:pPr>
            <w:r w:rsidRPr="00833E99">
              <w:rPr>
                <w:b/>
                <w:sz w:val="18"/>
              </w:rPr>
              <w:t>Strategi</w:t>
            </w:r>
            <w:r w:rsidR="00161DDF" w:rsidRPr="00833E99">
              <w:rPr>
                <w:b/>
                <w:sz w:val="18"/>
              </w:rPr>
              <w:t>ą</w:t>
            </w:r>
            <w:r w:rsidRPr="00833E99">
              <w:rPr>
                <w:b/>
                <w:sz w:val="18"/>
              </w:rPr>
              <w:t xml:space="preserve"> na rzecz Odpowiedzialnego Rozwoju</w:t>
            </w:r>
            <w:r w:rsidR="00DA34A0" w:rsidRPr="00833E99">
              <w:rPr>
                <w:sz w:val="18"/>
              </w:rPr>
              <w:t>:</w:t>
            </w:r>
          </w:p>
          <w:p w14:paraId="45BB917F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obszar E-państwo, kierunki interwencji: Budowa i rozwój e-administracji – orientacja administracji państwa na usługi cyfrowe, działania: </w:t>
            </w:r>
          </w:p>
          <w:p w14:paraId="47C98B01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zwiększenie dostępu do informacji sektora publicznego, w tym poprzez interfejsy dla programistów,</w:t>
            </w:r>
          </w:p>
          <w:p w14:paraId="19E68559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zastosowanie instrumentów analitycznych służących identyfikacji potrzeb obywateli w  ramach e-administracji oraz wspieraniu działań podnoszących aktualność i wiarygodność danych znajdujących się w rejestrach państwowych,</w:t>
            </w:r>
          </w:p>
          <w:p w14:paraId="3B9674F5" w14:textId="00C57FE5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obszar: Instytucje prorozwojowe i strategiczne zarządzanie rozwojem, kierunki interwencji: zwiększenie sprawności funkcjonowania instytucji państwa, w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tym administracji, działanie:</w:t>
            </w:r>
          </w:p>
          <w:p w14:paraId="1611BBBD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poprawa jakości usług świadczonych przez instytucje publiczne (m.in. uproszczenie procedowania spraw drogą elektroniczną, eliminacja barier prawnych, maksymalizacja automatyzacji procesów), upowszechnianie najlepszych praktyk w zakresie obsługi biznesu;</w:t>
            </w:r>
          </w:p>
          <w:p w14:paraId="415C083E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doskonalenie kompetencji analitycznych, w tym zdolności do dokonywania analizy kosztów i korzyści interwencji  publicznych, ekonometrycznej i</w:t>
            </w:r>
            <w:r w:rsidR="003A39C4" w:rsidRPr="00833E99">
              <w:rPr>
                <w:sz w:val="18"/>
              </w:rPr>
              <w:t> </w:t>
            </w:r>
            <w:r w:rsidRPr="00833E99">
              <w:rPr>
                <w:sz w:val="18"/>
              </w:rPr>
              <w:t>statystycznej analizy danych, wykorzystania  nowoczesnych technik przetwarzania informacji (big data).</w:t>
            </w:r>
          </w:p>
          <w:p w14:paraId="02B5106A" w14:textId="1FEE3FD2" w:rsidR="00C526C8" w:rsidRPr="00833E99" w:rsidRDefault="00C526C8" w:rsidP="00DA34A0">
            <w:pPr>
              <w:pStyle w:val="Akapitzlist"/>
              <w:numPr>
                <w:ilvl w:val="0"/>
                <w:numId w:val="6"/>
              </w:numPr>
              <w:spacing w:before="120"/>
              <w:ind w:left="528" w:right="15" w:hanging="205"/>
              <w:contextualSpacing w:val="0"/>
              <w:jc w:val="both"/>
              <w:rPr>
                <w:sz w:val="18"/>
              </w:rPr>
            </w:pPr>
            <w:r w:rsidRPr="00833E99">
              <w:rPr>
                <w:b/>
                <w:sz w:val="18"/>
              </w:rPr>
              <w:t>Strategi</w:t>
            </w:r>
            <w:r w:rsidR="00161DDF" w:rsidRPr="00833E99">
              <w:rPr>
                <w:b/>
                <w:sz w:val="18"/>
              </w:rPr>
              <w:t>ą</w:t>
            </w:r>
            <w:r w:rsidRPr="00833E99">
              <w:rPr>
                <w:b/>
                <w:sz w:val="18"/>
              </w:rPr>
              <w:t xml:space="preserve"> Innowacyjności i Efektywności Gospodarki „Dynamiczna Polska 2020</w:t>
            </w:r>
            <w:r w:rsidRPr="00833E99">
              <w:rPr>
                <w:sz w:val="18"/>
              </w:rPr>
              <w:t>” – cel 2 – Stymulowanie innowacyjności poprzez wzrost efektywności wiedzy i pracy, działanie 2.6.4. Otwarcie dostępu do informacji publicznej dla przedsiębiorstw i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obywateli,</w:t>
            </w:r>
          </w:p>
          <w:p w14:paraId="433E823D" w14:textId="23DC3D71" w:rsidR="00F67322" w:rsidRPr="00DA34A0" w:rsidRDefault="00C526C8" w:rsidP="00DA34A0">
            <w:pPr>
              <w:pStyle w:val="Akapitzlist"/>
              <w:numPr>
                <w:ilvl w:val="0"/>
                <w:numId w:val="6"/>
              </w:numPr>
              <w:spacing w:before="120"/>
              <w:ind w:left="528" w:right="15" w:hanging="205"/>
              <w:contextualSpacing w:val="0"/>
              <w:jc w:val="both"/>
              <w:rPr>
                <w:sz w:val="16"/>
              </w:rPr>
            </w:pPr>
            <w:r w:rsidRPr="00833E99">
              <w:rPr>
                <w:sz w:val="18"/>
              </w:rPr>
              <w:t>Programem otwierania danych publicznych: cel szczegółowy 3: „zwiększenie przejrzystości i skuteczności funkcjonowania organów administracji publicznej, usprawnienie działalności urzędów, umożliwienie obywatelom udziału w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sprawowaniu władzy i procesie ponownego wykorzystywania danych publicznych”.</w:t>
            </w:r>
          </w:p>
        </w:tc>
      </w:tr>
      <w:tr w:rsidR="00C25E7E" w:rsidRPr="002450C4" w14:paraId="29C8B4FC" w14:textId="77777777" w:rsidTr="00266C4A">
        <w:tc>
          <w:tcPr>
            <w:tcW w:w="562" w:type="dxa"/>
          </w:tcPr>
          <w:p w14:paraId="23AA023F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4C24EDA6" w14:textId="77777777" w:rsidR="00C25E7E" w:rsidRPr="002450C4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521" w:type="dxa"/>
          </w:tcPr>
          <w:p w14:paraId="641524C7" w14:textId="0E006557" w:rsidR="00CA0B2A" w:rsidRPr="00E20ADA" w:rsidRDefault="00CA0B2A" w:rsidP="00DA34A0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20ADA">
              <w:rPr>
                <w:sz w:val="18"/>
                <w:szCs w:val="20"/>
              </w:rPr>
              <w:t>Problemy</w:t>
            </w:r>
            <w:r w:rsidR="009020F7" w:rsidRPr="00E20ADA">
              <w:rPr>
                <w:sz w:val="18"/>
                <w:szCs w:val="20"/>
              </w:rPr>
              <w:t xml:space="preserve"> napotkane w projekcie</w:t>
            </w:r>
          </w:p>
          <w:p w14:paraId="1A30E2E7" w14:textId="77777777" w:rsidR="00CA0B2A" w:rsidRPr="00E20ADA" w:rsidRDefault="00CA0B2A" w:rsidP="00CA0B2A">
            <w:pPr>
              <w:numPr>
                <w:ilvl w:val="3"/>
                <w:numId w:val="9"/>
              </w:numPr>
              <w:tabs>
                <w:tab w:val="left" w:pos="319"/>
              </w:tabs>
              <w:ind w:left="319" w:hanging="283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 uwagi na przedłużające się prace związane z realizacją umowy na zaprojektowanie, opracowanie i wdrożenie portalu PI 2.0 wraz z systemem CMS  oraz nieukończenie pomimo ww. opóźnienia kluczowych zadań (wdrożenie CMS i wdrożenie PI), umowę wypowiedziano w lutym 2023 r. W związku z powyższym podjęto następujące środki zaradcze:</w:t>
            </w:r>
          </w:p>
          <w:p w14:paraId="607D6E04" w14:textId="77777777" w:rsidR="00CA0B2A" w:rsidRPr="00E20ADA" w:rsidRDefault="00CA0B2A" w:rsidP="00DA34A0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Przedłużono termin realizacji projektu Aneksem nr 5 do Porozumienia.</w:t>
            </w:r>
          </w:p>
          <w:p w14:paraId="46F26ED6" w14:textId="77777777" w:rsidR="00CA0B2A" w:rsidRPr="00E20ADA" w:rsidRDefault="00CA0B2A" w:rsidP="00DA34A0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Planowano wykorzystać do wdrożenia CMS / PI zewnętrznego wykonawcę umowy ramowej (Zadanie 2 – Usługi zewnętrzne ds. IT).</w:t>
            </w:r>
          </w:p>
          <w:p w14:paraId="5D92EA59" w14:textId="77777777" w:rsidR="00CA0B2A" w:rsidRPr="00E20ADA" w:rsidRDefault="00CA0B2A" w:rsidP="00CA0B2A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Prace nad wdrożeniem systemu CMS i Portalu Informacyjnego rozpoczęto na nowo własnymi zasobami.</w:t>
            </w:r>
          </w:p>
          <w:p w14:paraId="683533AB" w14:textId="77777777" w:rsidR="00266C4A" w:rsidRPr="00E20ADA" w:rsidRDefault="00CA0B2A" w:rsidP="00CA0B2A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20ADA">
              <w:rPr>
                <w:sz w:val="18"/>
                <w:szCs w:val="20"/>
              </w:rPr>
              <w:t>Zespół własny został wzmocniony naborem pracowników z kompetencjami nakierowanymi na wdrożenie systemu CMS tj. designera, frontendowca oraz 3 specjalistów od wdrożeń systemów CMS.</w:t>
            </w:r>
          </w:p>
          <w:p w14:paraId="5C0C1111" w14:textId="77777777" w:rsidR="00266C4A" w:rsidRDefault="00266C4A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55F7B33C" w14:textId="77777777" w:rsidR="00266C4A" w:rsidRPr="00F80E41" w:rsidRDefault="00266C4A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1AA3DA84" w14:textId="77777777" w:rsidR="00C25E7E" w:rsidRPr="005836AA" w:rsidRDefault="00C25E7E" w:rsidP="00C25E7E">
            <w:pPr>
              <w:spacing w:line="256" w:lineRule="auto"/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5836AA">
              <w:rPr>
                <w:rFonts w:cstheme="minorHAnsi"/>
                <w:color w:val="000000"/>
                <w:sz w:val="16"/>
                <w:szCs w:val="16"/>
                <w:lang w:eastAsia="pl-PL"/>
              </w:rPr>
              <w:t>W przebiegu realizacji Projektu zostały zidentyfikowane następujące ryzyka: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19"/>
              <w:gridCol w:w="1146"/>
              <w:gridCol w:w="1651"/>
              <w:gridCol w:w="2267"/>
            </w:tblGrid>
            <w:tr w:rsidR="00C25E7E" w:rsidRPr="00F80E41" w14:paraId="0662660E" w14:textId="77777777" w:rsidTr="00BD3DCF">
              <w:tc>
                <w:tcPr>
                  <w:tcW w:w="1623" w:type="dxa"/>
                  <w:hideMark/>
                </w:tcPr>
                <w:p w14:paraId="1B02CC01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Nazwa ryzyka</w:t>
                  </w:r>
                </w:p>
              </w:tc>
              <w:tc>
                <w:tcPr>
                  <w:tcW w:w="1115" w:type="dxa"/>
                  <w:hideMark/>
                </w:tcPr>
                <w:p w14:paraId="5558F1DE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Siła oddziaływania </w:t>
                  </w:r>
                </w:p>
              </w:tc>
              <w:tc>
                <w:tcPr>
                  <w:tcW w:w="1603" w:type="dxa"/>
                  <w:hideMark/>
                </w:tcPr>
                <w:p w14:paraId="5043B1A2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Prawdopodobieństwo wystąpienia ryzyka</w:t>
                  </w:r>
                </w:p>
              </w:tc>
              <w:tc>
                <w:tcPr>
                  <w:tcW w:w="2577" w:type="dxa"/>
                  <w:hideMark/>
                </w:tcPr>
                <w:p w14:paraId="5002617A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Sposób zarz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ą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ania ryzykiem</w:t>
                  </w:r>
                </w:p>
              </w:tc>
            </w:tr>
            <w:tr w:rsidR="00C25E7E" w:rsidRPr="00F80E41" w14:paraId="2E279F6F" w14:textId="77777777" w:rsidTr="00BD3DCF">
              <w:tc>
                <w:tcPr>
                  <w:tcW w:w="1623" w:type="dxa"/>
                  <w:hideMark/>
                </w:tcPr>
                <w:p w14:paraId="07F1EDAC" w14:textId="145C3708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Niewydatkowanie środków europejskich na realizację umowy 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na organizację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przeprowadzenie szkoleń z administrowania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rozwijania CMS opartego na open source Drupal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15" w:type="dxa"/>
                  <w:hideMark/>
                </w:tcPr>
                <w:p w14:paraId="67379701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2137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5AA8F20E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2137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1E5AE41F" w14:textId="294181AA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0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Wystąpienie o opinię prawną wskazującą, czy zasadne jest zwrócenie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się do organu skarbowego o wydanie interpretacji indywidualnej w zakresie prawidłowości zwolnienia z VAT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przypadku konsorcjum, w którym tylko jeden z podmiotów jest uprawniony do zwolnienia podmiotowego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FEE355B" w14:textId="244FFA52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0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Zwrócenie się do organu skarbowego o wydanie interpretacji indywidualnej w zakresie prawidłowości zwolnienia z VAT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przypadku konsorcjum, w którym tylko jeden z podmiotów jest uprawniony do zwolnienia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081B176" w14:textId="41746311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0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 uwagi na rezygnację pierwszego w rankingu Wykonawcy, wobec którego występowały wątpliwości od udziału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postępowaniu, procedowanie postępowania zostało wznowione. Czynności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postępowaniu podjęto wobec Wykonawcy znajdującego się na drugim miejscu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rankingu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A81C7B1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0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29.11.2023 r. podpisano umowę z drugim Wykonawcą.</w:t>
                  </w:r>
                </w:p>
                <w:p w14:paraId="3FD6CA9C" w14:textId="77777777" w:rsidR="00C25E7E" w:rsidRPr="00F80E41" w:rsidRDefault="00C25E7E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="004510F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. </w:t>
                  </w:r>
                </w:p>
              </w:tc>
            </w:tr>
            <w:tr w:rsidR="00C25E7E" w:rsidRPr="00F80E41" w14:paraId="6B2224F5" w14:textId="77777777" w:rsidTr="00BD3DCF">
              <w:tc>
                <w:tcPr>
                  <w:tcW w:w="1623" w:type="dxa"/>
                  <w:hideMark/>
                </w:tcPr>
                <w:p w14:paraId="411C3A38" w14:textId="77777777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 xml:space="preserve">Niezrealizowanie określonych zadań przez wykonawcę Wsparcia IT </w:t>
                  </w:r>
                </w:p>
              </w:tc>
              <w:tc>
                <w:tcPr>
                  <w:tcW w:w="1115" w:type="dxa"/>
                  <w:hideMark/>
                </w:tcPr>
                <w:p w14:paraId="72F24876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53D2DA11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5B049A1D" w14:textId="686A46CD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roli metodyki wytwórczej podczas wykonywania zadań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A991F81" w14:textId="22077191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Wykonawcy zadań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stała współpraca zespołów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3F5A70F4" w14:textId="1932ED13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nadzoru Kierownika Projektu nad realizacją zadania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BAC195C" w14:textId="74B79DD0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Uruchomienie dodatkowych zasobów Beneficjenta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455944B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Zatrudnienie specjalistów IT ze środków projektowych.</w:t>
                  </w:r>
                </w:p>
                <w:p w14:paraId="4226F217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C25E7E" w:rsidRPr="00F80E41" w14:paraId="322CC5BF" w14:textId="77777777" w:rsidTr="00BD3DCF">
              <w:tc>
                <w:tcPr>
                  <w:tcW w:w="1623" w:type="dxa"/>
                  <w:hideMark/>
                </w:tcPr>
                <w:p w14:paraId="17F0CB95" w14:textId="5215B09F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Ograniczona liczba pracowników Beneficjenta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określonych kompetencjach do przeprowadzenia szkoleń wewnętrznych dla administratorów merytorycznych portali, redaktorów zatwierdzających oraz redaktorów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zakresu obsługi CMS Drupal i jego funkcjonalności</w:t>
                  </w:r>
                </w:p>
              </w:tc>
              <w:tc>
                <w:tcPr>
                  <w:tcW w:w="1115" w:type="dxa"/>
                  <w:hideMark/>
                </w:tcPr>
                <w:p w14:paraId="0BBEE148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34D54BF1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75CF2CA5" w14:textId="5A8664BF" w:rsidR="00C25E7E" w:rsidRPr="00F80E41" w:rsidRDefault="00C25E7E" w:rsidP="00C25E7E">
                  <w:pPr>
                    <w:pStyle w:val="Legenda"/>
                    <w:numPr>
                      <w:ilvl w:val="0"/>
                      <w:numId w:val="14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Podnoszenie kompetencji podczas 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lastRenderedPageBreak/>
                    <w:t>realizacji Projektu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7F0BCD0" w14:textId="08669C64" w:rsidR="00C25E7E" w:rsidRPr="00F80E41" w:rsidRDefault="00C25E7E" w:rsidP="00C25E7E">
                  <w:pPr>
                    <w:pStyle w:val="Legenda"/>
                    <w:numPr>
                      <w:ilvl w:val="0"/>
                      <w:numId w:val="14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Zakup usługi szkoleniowej z zakresu narzędzi DRUPAL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9884F9A" w14:textId="50F8DC97" w:rsidR="00C25E7E" w:rsidRPr="00F80E41" w:rsidRDefault="00C25E7E" w:rsidP="00C25E7E">
                  <w:pPr>
                    <w:pStyle w:val="Legenda"/>
                    <w:numPr>
                      <w:ilvl w:val="0"/>
                      <w:numId w:val="15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Pozyskiwanie wiedzy od Wykonawcy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D62B131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5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Przygotowanie zespołu osób, które będą prowadzić szkolenia.</w:t>
                  </w:r>
                </w:p>
                <w:p w14:paraId="2E34945F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C25E7E" w:rsidRPr="00F80E41" w14:paraId="6F4F8B5C" w14:textId="77777777" w:rsidTr="00BD3DCF">
              <w:tc>
                <w:tcPr>
                  <w:tcW w:w="1623" w:type="dxa"/>
                  <w:hideMark/>
                </w:tcPr>
                <w:p w14:paraId="7AAB03EE" w14:textId="278A53E2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Opóźnienie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realizacji projektu wynikające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pandemii spowodowanej koronawirusem SARS-CoV-2</w:t>
                  </w:r>
                </w:p>
              </w:tc>
              <w:tc>
                <w:tcPr>
                  <w:tcW w:w="1115" w:type="dxa"/>
                  <w:hideMark/>
                </w:tcPr>
                <w:p w14:paraId="0DC2AF9C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861D4C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00D7A7C0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861D4C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6C4B2D71" w14:textId="2CE08D5F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Planowanie szczegółowego harmonogramu prac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ramach projektu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trybie pracy zdalnej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B1B26D7" w14:textId="2FC28B32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realizacji prac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BADBC93" w14:textId="72981FB4" w:rsidR="00C25E7E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582BA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Wystąpienie do CPPC 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zgodę na</w:t>
                  </w:r>
                  <w:r w:rsidRPr="00582BA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wydłużenie terminu zakończenia projektu oraz zmianę harmonogramu kamieni milowych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32855A0" w14:textId="77777777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Podpisanie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Aneksu do Porozumienia.</w:t>
                  </w:r>
                </w:p>
                <w:p w14:paraId="4D69CFA3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72554676" w14:textId="77777777" w:rsidTr="00331553">
              <w:tc>
                <w:tcPr>
                  <w:tcW w:w="1623" w:type="dxa"/>
                  <w:shd w:val="clear" w:color="auto" w:fill="auto"/>
                </w:tcPr>
                <w:p w14:paraId="59A23EE2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braku zabezpieczenia wystarczających środków na realizację Projektu – z perspektywy finansowej 2014-2020 (POPC 2.3.1) lub ze środków budżetowych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05344AF" w14:textId="77777777" w:rsidR="00331553" w:rsidRPr="00861D4C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Mała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57ECC95" w14:textId="77777777" w:rsidR="00331553" w:rsidRPr="00861D4C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7B5641" w14:textId="4DE6CEA2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Określenie zakresu harmonogramu projektu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2A8EB8F" w14:textId="04FA9B40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Fazowanie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5618ED0" w14:textId="5B300031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Przygotowanie zespołu własnego do realizacji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programistycznych.</w:t>
                  </w:r>
                </w:p>
                <w:p w14:paraId="4AB08E70" w14:textId="77777777" w:rsidR="00331553" w:rsidRPr="00331553" w:rsidRDefault="00331553" w:rsidP="00331553">
                  <w:pPr>
                    <w:widowControl w:val="0"/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zamknięte. </w:t>
                  </w:r>
                </w:p>
              </w:tc>
            </w:tr>
            <w:tr w:rsidR="00331553" w:rsidRPr="00F80E41" w14:paraId="01512EAB" w14:textId="77777777" w:rsidTr="00331553">
              <w:tc>
                <w:tcPr>
                  <w:tcW w:w="1623" w:type="dxa"/>
                  <w:shd w:val="clear" w:color="auto" w:fill="auto"/>
                  <w:vAlign w:val="center"/>
                </w:tcPr>
                <w:p w14:paraId="4C7D0CA9" w14:textId="4C8876C9" w:rsidR="00331553" w:rsidRPr="00331553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realizację przetargów.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45B8988" w14:textId="77777777" w:rsidR="00331553" w:rsidRP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Mała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6B813F3" w14:textId="77777777" w:rsidR="00331553" w:rsidRP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E240B3" w14:textId="518A7C19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Planowanie rezerw czasowych dla postępowań przetargowych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8D8CA67" w14:textId="2EE099F7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contextualSpacing w:val="0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ścieżki krytycznej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FD98DCF" w14:textId="77777777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contextualSpacing w:val="0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Zintensyfikowanie prac związanych z realizacją postępowań. poprzez wyznaczanie do Komisji Przetargowej kompetentnych pracowników merytorycznych.</w:t>
                  </w:r>
                </w:p>
                <w:p w14:paraId="68222779" w14:textId="77777777" w:rsidR="00331553" w:rsidRPr="00331553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5D18ECAF" w14:textId="77777777" w:rsidTr="00331553">
              <w:tc>
                <w:tcPr>
                  <w:tcW w:w="1623" w:type="dxa"/>
                  <w:hideMark/>
                </w:tcPr>
                <w:p w14:paraId="22780434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bookmarkStart w:id="2" w:name="_Hlk156544094"/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Odejście z pracy / zaangażowanie do innych inicjatyw osób kluczowych dla realizacji Projektu</w:t>
                  </w:r>
                </w:p>
              </w:tc>
              <w:tc>
                <w:tcPr>
                  <w:tcW w:w="1115" w:type="dxa"/>
                  <w:hideMark/>
                </w:tcPr>
                <w:p w14:paraId="71460D90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27834E61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7362A13F" w14:textId="2A32B303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odpowiedniej komunikacji w projekcie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9D0EF11" w14:textId="04E0E789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Określanie zastępstw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F701858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motywacyjny dla uczestników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Projekt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  <w:p w14:paraId="1A62D883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bookmarkEnd w:id="2"/>
            <w:tr w:rsidR="00331553" w:rsidRPr="00F80E41" w14:paraId="0425377D" w14:textId="77777777" w:rsidTr="00331553">
              <w:tc>
                <w:tcPr>
                  <w:tcW w:w="1623" w:type="dxa"/>
                  <w:hideMark/>
                </w:tcPr>
                <w:p w14:paraId="203CE046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Niewystarczające zasoby ludzkie po stronie GUS (np. pracownicy IT, pracownicy merytoryczni, pracownicy służb obsługowo-administracyjnych wchodzący w skład Biura Projektu)</w:t>
                  </w:r>
                </w:p>
              </w:tc>
              <w:tc>
                <w:tcPr>
                  <w:tcW w:w="1115" w:type="dxa"/>
                  <w:hideMark/>
                </w:tcPr>
                <w:p w14:paraId="5A74AA14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48ADBA80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4BD8964B" w14:textId="1AFA285B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Właściwe oszacowanie potrzebnych zasobów do realizacji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F0A9443" w14:textId="16BD8D86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Racjonalna polityka kadrowa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3E6A016" w14:textId="559A8A8B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Identyfikacja i realizacja potrzeb szkoleniowych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1984C5A" w14:textId="24C1D7FB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Racjonalna polityka nabywania usług zewnętrznych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AB5E2CC" w14:textId="791C5CAF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Uruchomienie dodatkowych zasobów beneficjenta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ECA9E99" w14:textId="7FD3BD91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zastępowalności pracowników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E334267" w14:textId="72563FF9" w:rsidR="00331553" w:rsidRPr="00F80E41" w:rsidRDefault="00331553" w:rsidP="00331553">
                  <w:pPr>
                    <w:numPr>
                      <w:ilvl w:val="0"/>
                      <w:numId w:val="18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Zatrudnienie specjalistów IT ze środków projektowych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F8735B2" w14:textId="77777777" w:rsidR="00331553" w:rsidRPr="00F80E41" w:rsidRDefault="00331553" w:rsidP="00331553">
                  <w:pPr>
                    <w:numPr>
                      <w:ilvl w:val="0"/>
                      <w:numId w:val="18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Organizacja cyklicznych spotkań w formie sprintów, na których odbywają się przeglądy stanu działań i ustaleń oraz podejmowane są decyzje dotyczące priorytetów.</w:t>
                  </w:r>
                </w:p>
                <w:p w14:paraId="7123C40E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25D798CC" w14:textId="77777777" w:rsidTr="00331553">
              <w:tc>
                <w:tcPr>
                  <w:tcW w:w="1623" w:type="dxa"/>
                  <w:shd w:val="clear" w:color="auto" w:fill="auto"/>
                </w:tcPr>
                <w:p w14:paraId="22CE6731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Nierzetelny lub niedoświadczony Wykonawca usługi wsparcia zewnętrznego ds. IT (brak potencjału i doświadczenia, oraz możliwości organizacyjnych do realizacji zamówienia)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3597FCA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B88630A" w14:textId="77777777" w:rsid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4C5DBC" w14:textId="66935735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Odpowiedni dobór warunków wiedzy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doświadczenia potencjalnych Wykonawców do uwzględnienia w postępowaniu przetargowym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EB4CCBE" w14:textId="44735851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Mechanizmy kontrolne w umowie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91F4787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właściwego nadzoru nad projektem zwłaszcza w fazie projektowej oraz pilnowanie postępów wykonawcy.</w:t>
                  </w:r>
                </w:p>
                <w:p w14:paraId="6007C9DA" w14:textId="77777777" w:rsidR="00331553" w:rsidRPr="00331553" w:rsidRDefault="00331553" w:rsidP="00331553">
                  <w:pPr>
                    <w:widowControl w:val="0"/>
                    <w:spacing w:line="276" w:lineRule="auto"/>
                    <w:contextualSpacing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17ABB1A1" w14:textId="77777777" w:rsidTr="00331553">
              <w:tc>
                <w:tcPr>
                  <w:tcW w:w="1623" w:type="dxa"/>
                  <w:shd w:val="clear" w:color="auto" w:fill="auto"/>
                </w:tcPr>
                <w:p w14:paraId="5B0D9376" w14:textId="1A502560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zmniejszenia wartości projektu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wynikająca z tego koniecznością zmniejszenia kwoty kosztów pośrednich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2DF0F67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25EADB9" w14:textId="77777777" w:rsid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3B5ABC" w14:textId="4C5649E6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Wystąpienie do CPPC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zgodę na zwiększenie limitu kosztów pośrednich do 15% faktycznie poniesionych wydatków.</w:t>
                  </w:r>
                </w:p>
                <w:p w14:paraId="0114D7E9" w14:textId="77777777" w:rsidR="00331553" w:rsidRPr="00331553" w:rsidRDefault="00331553" w:rsidP="00331553">
                  <w:pPr>
                    <w:widowControl w:val="0"/>
                    <w:spacing w:line="276" w:lineRule="auto"/>
                    <w:contextualSpacing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175A612A" w14:textId="77777777" w:rsidTr="00331553">
              <w:tc>
                <w:tcPr>
                  <w:tcW w:w="1623" w:type="dxa"/>
                  <w:hideMark/>
                </w:tcPr>
                <w:p w14:paraId="30CA38DE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bookmarkStart w:id="3" w:name="_Hlk112667071"/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przekroczenia procentowego progu kosztów pośrednich</w:t>
                  </w:r>
                  <w:bookmarkEnd w:id="3"/>
                </w:p>
              </w:tc>
              <w:tc>
                <w:tcPr>
                  <w:tcW w:w="1115" w:type="dxa"/>
                  <w:hideMark/>
                </w:tcPr>
                <w:p w14:paraId="58F477A6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359EF914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2EC6474A" w14:textId="3940AC5B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Wystąpienie do CPPC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limitu kosztów pośrednich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10% do 15% wydatków poniesionych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w Projekcie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7A99F41" w14:textId="6835EA05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Systematyczna kontrola aktualnej wartości projektu oraz poziomu dozwolonych kosztów pośrednich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14F2B07" w14:textId="0C1C921C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Uzależnienie wydatkowania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kosztów pośrednich od wysokości zrealizowanych wydatków na zadania merytoryczne.</w:t>
                  </w:r>
                </w:p>
                <w:p w14:paraId="253257AD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0757F09F" w14:textId="77777777" w:rsidTr="00331553">
              <w:tc>
                <w:tcPr>
                  <w:tcW w:w="1623" w:type="dxa"/>
                  <w:hideMark/>
                </w:tcPr>
                <w:p w14:paraId="014E4F85" w14:textId="3F1DFD5C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Ryzyko związane z zagrożeniem realizacji w terminie produktu - Portal informacyjny – wdrożenie portalu – potencjalne zagrożenie wydłużania realizacji Projektu</w:t>
                  </w:r>
                </w:p>
              </w:tc>
              <w:tc>
                <w:tcPr>
                  <w:tcW w:w="1115" w:type="dxa"/>
                  <w:hideMark/>
                </w:tcPr>
                <w:p w14:paraId="344D4AD4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143C729F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6E06074D" w14:textId="2F22A3AB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Monitorowanie harmonogramu prac i raportowanie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8530CBE" w14:textId="70B6AB29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Analiza kamieni milowych pod kątem możliwości realizacji projektu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51CCFAF" w14:textId="34CD3744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Bieżąca analiza problemów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D582D63" w14:textId="77777777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Wprowadzenie procedur kontroli.</w:t>
                  </w:r>
                </w:p>
                <w:p w14:paraId="1AD20D61" w14:textId="77777777" w:rsidR="00331553" w:rsidRPr="00392B0D" w:rsidRDefault="00331553" w:rsidP="00331553">
                  <w:pPr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Pr="004510FA">
                    <w:rPr>
                      <w:rFonts w:cstheme="minorHAnsi"/>
                      <w:bCs/>
                      <w:color w:val="000000"/>
                      <w:sz w:val="16"/>
                      <w:szCs w:val="16"/>
                      <w:lang w:eastAsia="pl-PL"/>
                    </w:rPr>
                    <w:t>zamknięte</w:t>
                  </w: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18392BE8" w14:textId="77777777" w:rsidTr="00331553">
              <w:tc>
                <w:tcPr>
                  <w:tcW w:w="1623" w:type="dxa"/>
                </w:tcPr>
                <w:p w14:paraId="53B6C7F2" w14:textId="77777777" w:rsidR="00331553" w:rsidRPr="00F80E41" w:rsidRDefault="00331553" w:rsidP="00331553">
                  <w:pPr>
                    <w:jc w:val="both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wydłużenia czasu realizacji Projektu związanego z wojną na Ukrainie</w:t>
                  </w:r>
                </w:p>
              </w:tc>
              <w:tc>
                <w:tcPr>
                  <w:tcW w:w="1115" w:type="dxa"/>
                </w:tcPr>
                <w:p w14:paraId="262173FF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</w:tcPr>
                <w:p w14:paraId="6C6BB262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</w:tcPr>
                <w:p w14:paraId="7AA75501" w14:textId="5E1652E6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Analiza możliwości zmiany harmonogramu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0750DDD" w14:textId="0BEF4603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Ustalenie nowego harmonogramu realizacji zadania dotyczącego wdrożenia Portalu Informacyjnego z Wykonawcą – konsorcjum ukraińskie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5A18C90" w14:textId="1FD1CA9A" w:rsidR="00331553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Monitorowanie realizacji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19A2969" w14:textId="5F14B124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Wyrażenie przez Komitet Sterujący zgody na wystąpienie do CPPC z 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przedłużenie terminu trwania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2336FDB" w14:textId="12F031F1" w:rsidR="00331553" w:rsidRPr="004510FA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Wystąpienie do CPPC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przedłużenie terminu trwania projektu.</w:t>
                  </w:r>
                </w:p>
                <w:p w14:paraId="1A570A77" w14:textId="77777777" w:rsidR="00331553" w:rsidRPr="00F80E41" w:rsidRDefault="00331553" w:rsidP="00E20ADA">
                  <w:pPr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Pr="004510FA">
                    <w:rPr>
                      <w:rFonts w:cstheme="minorHAnsi"/>
                      <w:bCs/>
                      <w:color w:val="000000"/>
                      <w:sz w:val="16"/>
                      <w:szCs w:val="16"/>
                      <w:lang w:eastAsia="pl-PL"/>
                    </w:rPr>
                    <w:t>zamknięte</w:t>
                  </w: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</w:tbl>
          <w:p w14:paraId="6456315B" w14:textId="77777777" w:rsidR="00C25E7E" w:rsidRPr="00F80E41" w:rsidRDefault="00C25E7E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0EDC056C" w14:textId="77777777" w:rsidR="00C25E7E" w:rsidRPr="00F80E41" w:rsidRDefault="00C25E7E" w:rsidP="00A26BBD">
            <w:pPr>
              <w:spacing w:line="256" w:lineRule="auto"/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C25E7E" w:rsidRPr="002450C4" w14:paraId="262BC092" w14:textId="77777777" w:rsidTr="00266C4A">
        <w:tc>
          <w:tcPr>
            <w:tcW w:w="562" w:type="dxa"/>
          </w:tcPr>
          <w:p w14:paraId="13D3FC98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468E0CEA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521" w:type="dxa"/>
          </w:tcPr>
          <w:p w14:paraId="5292419A" w14:textId="156C4DED" w:rsidR="00C25E7E" w:rsidRPr="00E20ADA" w:rsidRDefault="00C25E7E" w:rsidP="00C25E7E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użytkownikom szerokiego i łatwego dostępu do scentralizowanych, zintegrowanych danych publicznych, tj. oficjalnych danych statystycznych o sytuacji ekonomicznej, demograficznej, społecznej oraz środowisku naturalnym, organom władzy państwowej, administracji publicznej rządowej i samorządowej, sektorowi gospodarczemu i społeczeństwu. Dane te są istotne z punktu widzenia całej gospodarki, a także kluczowe dla procesów monitorowania rozwoju społecznego i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gospodarczego.</w:t>
            </w:r>
          </w:p>
          <w:p w14:paraId="4FEB8D8E" w14:textId="77777777" w:rsidR="00C25E7E" w:rsidRPr="00E20ADA" w:rsidRDefault="00C25E7E" w:rsidP="00C25E7E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odbiorcom dostępu do wynikowych informacji statystycznych z wykorzystaniem nowoczesnych kanałów dostępu i komunikacji, w oparciu o jednolitą, uspójnioną platformę udostępniania wykorzystującą narzędzia open-</w:t>
            </w:r>
            <w:r w:rsidRPr="00E20ADA">
              <w:rPr>
                <w:sz w:val="18"/>
                <w:szCs w:val="20"/>
              </w:rPr>
              <w:lastRenderedPageBreak/>
              <w:t>source (z upublicznionym kodem źródłowym) i API, umożliwiającą prowadzenie samodzielnych analiz i zestawień:</w:t>
            </w:r>
            <w:r w:rsidRPr="00E20ADA">
              <w:t xml:space="preserve"> </w:t>
            </w:r>
          </w:p>
          <w:p w14:paraId="1AA26DE9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Składnicy Danych Publikacyjnych pozwoliła na uporządkowanie procesu udostępniania, co w konsekwencji prowadzi do scentralizowania kanałów prezentacji danych, wzrostu i standaryzacji zasobu informacyjnego przeznaczonego do udostępniania, wydajniejszej kontroli jakości udostępnianych danych, efektywniejszego i bardziej scentralizowanego zarządzania procesem udostępniania,</w:t>
            </w:r>
          </w:p>
          <w:p w14:paraId="645F37A5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i udostępnienie dla użytkowników zewnętrznych API SDP umożliwiło odbiorcom dostęp do pełnego zakresu publikacyjnego SDP tj.: publikacyjnych wynikowych informacji statystycznych oraz publikacyjnych metadanych statystycznych, przy wykorzystaniu jednego kanału udostępniania danych,</w:t>
            </w:r>
          </w:p>
          <w:p w14:paraId="33E69108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Składnicy Danych Geoprzestrzennych zapewnia: dostęp do ustrukturyzowanych danych przestrzennych zgromadzonych w jednym miejscu, możliwość wykorzystywania danych przestrzennych przez szerokie grono pracowników JSSP, możliwość wielokrotnego wykorzystywania raz przygotowanych danych przestrzennych (re-use),</w:t>
            </w:r>
          </w:p>
          <w:p w14:paraId="2F569C73" w14:textId="6010CDC9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nowy Portal Informacyjny zapewni dostęp do wszystkich informacji statystycznych w usystematyzowanej formie portali tematycznych, z nowoczesnym interfejsem i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funkcjonalnościami ułatwiającymi korzystanie z informacji,</w:t>
            </w:r>
          </w:p>
          <w:p w14:paraId="28BCB8A0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narzędzie do obsługi uzgadniania projektu PBSSP to  wsparcie procesu uzgadniania projektu PBSSP poprzez możliwości zgłaszania poprzez system uwag do projektu PBSSP oraz  systemową obsługę procesu opracowywania i uzgadniania stanowisk do uwag,</w:t>
            </w:r>
          </w:p>
          <w:p w14:paraId="6B03AB96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Składnica Potrzeb użytkowników pozwala na dopasowanie produktów i usług statystycznych do oczekiwań odbiorców oraz predykcję ich potrzeb informacyjnych.</w:t>
            </w:r>
          </w:p>
          <w:p w14:paraId="06DA950E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odbiorcom:</w:t>
            </w:r>
            <w:r w:rsidRPr="00E20ADA">
              <w:t xml:space="preserve"> </w:t>
            </w:r>
          </w:p>
          <w:p w14:paraId="0A94DB6F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spójnych metadanych dla wszystkich faz procesu produkcji statystycznej, gromadzonych w Systemie Metainformacji oraz funkcjonalności zarządzania procesami produkcji statystycznej pozwolą na automatyzację i optymalizację procesu produkcji statystycznej, a tym samym usprawnienie procesu przygotowania statystycznych danych wynikowych dla użytkowników,</w:t>
            </w:r>
          </w:p>
          <w:p w14:paraId="0BB2DE49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opisywanie operatów za pomocą tego samego zestawu zmiennych i udostępnianie  za pomocą tych samych produktów.</w:t>
            </w:r>
          </w:p>
          <w:p w14:paraId="68064965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spacing w:before="120"/>
              <w:ind w:left="357" w:hanging="357"/>
              <w:contextualSpacing w:val="0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Udostępnienie użytkownikom API do Składnicy Metadanych Statystycznych oraz do Składnicy Danych Publikacyjnych. Publikowanie danych w sposób otwarty, umożliwiający odczyt maszynowy, zapewni użytkownikom zautomatyzowane pobieranie danych statystycznych i metadanych co w znacznym stopniu usprawni zarzadzanie i podejmowanie decyzji w oparciu o informacje o aktualnej sytuacji ekonomicznej, demograficznej, społecznej oraz środowisku naturalnym.</w:t>
            </w:r>
          </w:p>
          <w:p w14:paraId="543A8E58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Zwiększenie poziomu świadomości pracowników poprzez uczestnictwo w szkoleniach, wpływa na poprawę jakości udostępnianych informacji wynikowych. Odbiorcom zostaje zapewniony dostęp do Systemu Metainformacji, w którym gromadzone się publiczne metadane dotyczące całego procesu produkcji, w tym statystycznych metod badawczych, sposobu interpretacji i wykorzystania wyników badań statystycznych. Pozwala to użytkownikom na lepsze, pełniejsze wykorzystanie informacji wynikowych, zapoznanie się z metodologią badań i sposobem produkcji danych statycznych.</w:t>
            </w:r>
          </w:p>
          <w:p w14:paraId="657399F6" w14:textId="38FF14C0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Zwiększenie promocji zasobów statystyki publicznej w mediach (portale informacyjne ogólnopolskie i regionalne) orz w portalach społecznościowych (X, Facebook, YouTube) poprzez zrealizowaną kampanię i transmisje konferencji online</w:t>
            </w:r>
            <w:r w:rsidR="00E20ADA" w:rsidRPr="00E20ADA">
              <w:rPr>
                <w:sz w:val="18"/>
                <w:szCs w:val="20"/>
              </w:rPr>
              <w:t>.</w:t>
            </w:r>
          </w:p>
          <w:p w14:paraId="1EE663F6" w14:textId="77777777" w:rsidR="00C25E7E" w:rsidRPr="00E20ADA" w:rsidRDefault="00C25E7E" w:rsidP="00DA34A0">
            <w:pPr>
              <w:pStyle w:val="Akapitzlist"/>
              <w:ind w:left="360"/>
              <w:jc w:val="both"/>
              <w:rPr>
                <w:sz w:val="18"/>
                <w:szCs w:val="20"/>
              </w:rPr>
            </w:pPr>
          </w:p>
          <w:p w14:paraId="079595EF" w14:textId="77777777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Korzyści wynikające z projektu WROTA STATYSTYKI będą mierzone poprzez zbieranie opinii od użytkowników o zbudowanym systemie podczas prezentacji produktów projektu na konferencjach i szkoleniach.</w:t>
            </w:r>
          </w:p>
          <w:p w14:paraId="10A5A2D5" w14:textId="77777777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Wykorzystanie produktów udostępnionych w ramach projektu WROTA STATYSTYKI będzie mierzone za pomocą wskaźnika rezultatu tj.</w:t>
            </w:r>
            <w:r w:rsidRPr="00E20ADA">
              <w:t xml:space="preserve"> </w:t>
            </w:r>
            <w:r w:rsidRPr="00E20ADA">
              <w:rPr>
                <w:sz w:val="18"/>
                <w:szCs w:val="20"/>
              </w:rPr>
              <w:t xml:space="preserve">Liczba pobrań/odtworzeń dokumentów zawierających informacje sektora publicznego. Wskaźnik rezultatu zostanie uznany za osiągnięty, jeśli przekroczy 1.000.000 pobrań/odtworzeń. Planowany termin osiągnięcia wskaźnika został wyznaczony na 12.2024 r., tj. 12 m-cy od zakończenia realizacji projektu. Wskaźnik zostanie wyliczony na podstawie wygenerowanego raportu z narzędzi </w:t>
            </w:r>
            <w:r w:rsidRPr="00E20ADA">
              <w:rPr>
                <w:sz w:val="18"/>
                <w:szCs w:val="20"/>
              </w:rPr>
              <w:lastRenderedPageBreak/>
              <w:t>monitorujących wykorzystanie usług dostępnych na stronie internetowej i w aplikacji mobilnej, a informacja o tym przekazana do CPPC.</w:t>
            </w:r>
          </w:p>
          <w:p w14:paraId="41A3060C" w14:textId="24010121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Wskaźnik rezultatu będzie monitorowany również w okresie trwałości projektu, tj. przez 5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lat będzie analizowane korzystanie użytkowników z produktów projektu WROTA STATYSTYKI, co będzie odnotowane w statystykach odwiedzin stron. Informacja ta będzie również przekazywana do CPPC.</w:t>
            </w:r>
          </w:p>
        </w:tc>
      </w:tr>
      <w:tr w:rsidR="00C25E7E" w:rsidRPr="002450C4" w14:paraId="6D13DB9E" w14:textId="77777777" w:rsidTr="00266C4A">
        <w:tc>
          <w:tcPr>
            <w:tcW w:w="562" w:type="dxa"/>
          </w:tcPr>
          <w:p w14:paraId="77875C14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1EE47091" w14:textId="4D758F44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</w:t>
            </w:r>
            <w:r w:rsidR="00E20ADA">
              <w:rPr>
                <w:sz w:val="18"/>
                <w:szCs w:val="20"/>
              </w:rPr>
              <w:t> </w:t>
            </w:r>
            <w:r w:rsidRPr="00F82254">
              <w:rPr>
                <w:sz w:val="18"/>
                <w:szCs w:val="20"/>
              </w:rPr>
              <w:t>jakimi zintegrował się wytworzony system w ramach realizacji projektu</w:t>
            </w:r>
          </w:p>
        </w:tc>
        <w:tc>
          <w:tcPr>
            <w:tcW w:w="6521" w:type="dxa"/>
          </w:tcPr>
          <w:p w14:paraId="670CCC9F" w14:textId="73125989" w:rsidR="005B173D" w:rsidRPr="00E20ADA" w:rsidRDefault="005B173D" w:rsidP="00C25E7E">
            <w:p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W projekcie nie </w:t>
            </w:r>
            <w:r w:rsidR="00574C97" w:rsidRPr="00E20ADA">
              <w:rPr>
                <w:sz w:val="18"/>
                <w:szCs w:val="18"/>
              </w:rPr>
              <w:t xml:space="preserve">zostały </w:t>
            </w:r>
            <w:r w:rsidRPr="00E20ADA">
              <w:rPr>
                <w:sz w:val="18"/>
                <w:szCs w:val="18"/>
              </w:rPr>
              <w:t xml:space="preserve"> wytworzone e-usługi. Produkty wytworzone w ramach projektu</w:t>
            </w:r>
            <w:r w:rsidR="001A70CF" w:rsidRPr="00E20ADA">
              <w:rPr>
                <w:sz w:val="18"/>
                <w:szCs w:val="18"/>
              </w:rPr>
              <w:t xml:space="preserve"> WROTA STATYSTYKI (WS)</w:t>
            </w:r>
            <w:r w:rsidRPr="00E20ADA">
              <w:rPr>
                <w:sz w:val="18"/>
                <w:szCs w:val="18"/>
              </w:rPr>
              <w:t xml:space="preserve"> są komplementarne z produktami wytworzonymi w ramach projektów</w:t>
            </w:r>
            <w:r w:rsidR="003204AA" w:rsidRPr="00E20ADA">
              <w:rPr>
                <w:sz w:val="18"/>
                <w:szCs w:val="18"/>
              </w:rPr>
              <w:t xml:space="preserve"> i systemów</w:t>
            </w:r>
            <w:r w:rsidR="002E22B9">
              <w:rPr>
                <w:sz w:val="18"/>
                <w:szCs w:val="18"/>
              </w:rPr>
              <w:t xml:space="preserve"> w statystyce publicznej</w:t>
            </w:r>
            <w:r w:rsidRPr="00E20ADA">
              <w:rPr>
                <w:sz w:val="18"/>
                <w:szCs w:val="18"/>
              </w:rPr>
              <w:t>:</w:t>
            </w:r>
          </w:p>
          <w:p w14:paraId="7112D8F5" w14:textId="77777777" w:rsidR="005B173D" w:rsidRPr="00E20ADA" w:rsidRDefault="009C662A" w:rsidP="005B173D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SISP i </w:t>
            </w:r>
            <w:r w:rsidR="005B173D" w:rsidRPr="00E20ADA">
              <w:rPr>
                <w:sz w:val="18"/>
                <w:szCs w:val="18"/>
              </w:rPr>
              <w:t>SISP-2</w:t>
            </w:r>
            <w:r w:rsidR="00DC522B" w:rsidRPr="00E20ADA">
              <w:rPr>
                <w:sz w:val="18"/>
                <w:szCs w:val="18"/>
              </w:rPr>
              <w:t>:</w:t>
            </w:r>
            <w:r w:rsidR="005B173D" w:rsidRPr="00E20ADA">
              <w:rPr>
                <w:sz w:val="18"/>
                <w:szCs w:val="18"/>
              </w:rPr>
              <w:t xml:space="preserve"> </w:t>
            </w:r>
          </w:p>
          <w:p w14:paraId="7B1A301A" w14:textId="7CA1824F" w:rsidR="005B173D" w:rsidRPr="00E20ADA" w:rsidRDefault="005B173D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produkty: Sieć WAN, System backupowy, System Serwis Desk Sieć bezprzewodowa (Wi-Fi), </w:t>
            </w:r>
            <w:r w:rsidR="00314A7F" w:rsidRPr="00E20ADA">
              <w:rPr>
                <w:sz w:val="18"/>
                <w:szCs w:val="18"/>
              </w:rPr>
              <w:t>Portal Informacyjny</w:t>
            </w:r>
            <w:r w:rsidR="009C662A" w:rsidRPr="00E20ADA">
              <w:rPr>
                <w:sz w:val="18"/>
                <w:szCs w:val="18"/>
              </w:rPr>
              <w:t>,</w:t>
            </w:r>
            <w:r w:rsidR="00F321E5">
              <w:rPr>
                <w:sz w:val="18"/>
                <w:szCs w:val="18"/>
              </w:rPr>
              <w:t xml:space="preserve"> </w:t>
            </w:r>
            <w:r w:rsidR="009C662A" w:rsidRPr="00E20ADA">
              <w:rPr>
                <w:sz w:val="18"/>
                <w:szCs w:val="18"/>
              </w:rPr>
              <w:t>System Metadanych Statystycznych (SMS), Repozytorium Standardów Informacyjnych (RSI), Portal Sprawozdawczy (PS);</w:t>
            </w:r>
          </w:p>
          <w:p w14:paraId="36B45473" w14:textId="77777777" w:rsidR="009C662A" w:rsidRPr="00E20ADA" w:rsidRDefault="005B173D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opis zależności: korzystanie. Rozwiązania </w:t>
            </w:r>
            <w:r w:rsidR="00314A7F" w:rsidRPr="00E20ADA">
              <w:rPr>
                <w:sz w:val="18"/>
                <w:szCs w:val="18"/>
              </w:rPr>
              <w:t xml:space="preserve">infrastrukturalne </w:t>
            </w:r>
            <w:r w:rsidRPr="00E20ADA">
              <w:rPr>
                <w:sz w:val="18"/>
                <w:szCs w:val="18"/>
              </w:rPr>
              <w:t>wytworzone w ramach projektu SISP</w:t>
            </w:r>
            <w:r w:rsidRPr="00E20ADA">
              <w:rPr>
                <w:sz w:val="18"/>
                <w:szCs w:val="18"/>
              </w:rPr>
              <w:noBreakHyphen/>
              <w:t>2 zostały modernizowane w ramach projektu WS.</w:t>
            </w:r>
            <w:r w:rsidR="009C662A" w:rsidRPr="00E20ADA">
              <w:rPr>
                <w:sz w:val="18"/>
                <w:szCs w:val="18"/>
              </w:rPr>
              <w:t xml:space="preserve"> Systemy SMS i RSI  przygotowane w ramach projektów SISP i SISP-2 zostały zmigrowane do nowego Podsystemu metadanych</w:t>
            </w:r>
            <w:r w:rsidR="00DC522B" w:rsidRPr="00E20ADA">
              <w:rPr>
                <w:sz w:val="18"/>
                <w:szCs w:val="18"/>
              </w:rPr>
              <w:t>;</w:t>
            </w:r>
            <w:r w:rsidR="009C662A" w:rsidRPr="00E20ADA">
              <w:rPr>
                <w:sz w:val="18"/>
                <w:szCs w:val="18"/>
              </w:rPr>
              <w:t xml:space="preserve"> wytworzonego w ramach projektu WS. Portal Sprawozdawczy (PS) zbudowany w ramach projektu SISP został rozbudowany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3F18951F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314A7F" w:rsidRPr="00E20ADA">
              <w:rPr>
                <w:sz w:val="18"/>
                <w:szCs w:val="18"/>
              </w:rPr>
              <w:t>pis zależności: uzupełnianie się. Nowy Portal Informacyjny (PI) został wdrożony w wersji beta, która pozwala na uwzględnienie uwag użytkowników (zgłaszanych poprzez formularz oceny osadzony na stronie głównej portalu). Wersja beta uzupełnia się z aktualnie funkcjonującym portalem, zmodernizowanym w ramach projektu SISP-2</w:t>
            </w:r>
          </w:p>
          <w:p w14:paraId="2D1D9BD5" w14:textId="77777777" w:rsidR="005B173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5B173D" w:rsidRPr="00E20ADA">
              <w:rPr>
                <w:sz w:val="18"/>
                <w:szCs w:val="18"/>
              </w:rPr>
              <w:t>tan integracji: wdrożone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63EFFE7D" w14:textId="77777777" w:rsidR="003204AA" w:rsidRPr="00E20ADA" w:rsidRDefault="00DC522B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3204AA" w:rsidRPr="00E20ADA">
              <w:rPr>
                <w:sz w:val="18"/>
                <w:szCs w:val="18"/>
              </w:rPr>
              <w:t>ystemy wytworzone przez zespoły projektowe służb statystyki publicznej</w:t>
            </w:r>
            <w:r w:rsidRPr="00E20ADA">
              <w:rPr>
                <w:sz w:val="18"/>
                <w:szCs w:val="18"/>
              </w:rPr>
              <w:t>:</w:t>
            </w:r>
          </w:p>
          <w:p w14:paraId="0902DF86" w14:textId="77777777" w:rsidR="003204AA" w:rsidRPr="00E20ADA" w:rsidRDefault="003204A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produkty: </w:t>
            </w:r>
            <w:r w:rsidR="001A70CF" w:rsidRPr="00E20ADA">
              <w:rPr>
                <w:sz w:val="18"/>
                <w:szCs w:val="18"/>
              </w:rPr>
              <w:t>Corstat</w:t>
            </w:r>
            <w:r w:rsidRPr="00E20ADA">
              <w:rPr>
                <w:sz w:val="18"/>
                <w:szCs w:val="18"/>
              </w:rPr>
              <w:t xml:space="preserve">, </w:t>
            </w:r>
            <w:r w:rsidR="001A70CF" w:rsidRPr="00E20ADA">
              <w:rPr>
                <w:sz w:val="18"/>
                <w:szCs w:val="18"/>
              </w:rPr>
              <w:t>TransGUS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4E45D08D" w14:textId="77777777" w:rsidR="003204AA" w:rsidRPr="00E20ADA" w:rsidRDefault="003204A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opis zależności: korzystanie.</w:t>
            </w:r>
            <w:r w:rsidR="00CE15AD" w:rsidRPr="00E20ADA">
              <w:rPr>
                <w:sz w:val="18"/>
                <w:szCs w:val="18"/>
              </w:rPr>
              <w:t xml:space="preserve"> </w:t>
            </w:r>
            <w:r w:rsidR="001A70CF" w:rsidRPr="00E20ADA">
              <w:rPr>
                <w:sz w:val="18"/>
                <w:szCs w:val="18"/>
              </w:rPr>
              <w:t>Wykorzyst</w:t>
            </w:r>
            <w:r w:rsidR="00883198" w:rsidRPr="00E20ADA">
              <w:rPr>
                <w:sz w:val="18"/>
                <w:szCs w:val="18"/>
              </w:rPr>
              <w:t>yw</w:t>
            </w:r>
            <w:r w:rsidR="001A70CF" w:rsidRPr="00E20ADA">
              <w:rPr>
                <w:sz w:val="18"/>
                <w:szCs w:val="18"/>
              </w:rPr>
              <w:t>ane są rozwiązania zbudowane przez zespoły projektowe statystyki publicznej. Produkt TransGUS został dodatkowo rozbudowany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675E85E4" w14:textId="77777777" w:rsidR="003204AA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st</w:t>
            </w:r>
            <w:r w:rsidR="003204AA" w:rsidRPr="00E20ADA">
              <w:rPr>
                <w:sz w:val="18"/>
                <w:szCs w:val="18"/>
              </w:rPr>
              <w:t>an integracji: wdrożone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30435F69" w14:textId="5172568E" w:rsidR="005B173D" w:rsidRPr="00E20ADA" w:rsidRDefault="00883198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Powszechny Spis Rolny 2020 (PSR 2020) Narodowy Spis Powszechny Ludności i</w:t>
            </w:r>
            <w:r w:rsidR="00E20ADA">
              <w:rPr>
                <w:sz w:val="18"/>
                <w:szCs w:val="18"/>
              </w:rPr>
              <w:t> </w:t>
            </w:r>
            <w:r w:rsidRPr="00E20ADA">
              <w:rPr>
                <w:sz w:val="18"/>
                <w:szCs w:val="18"/>
              </w:rPr>
              <w:t>Mieszkań 2021 (NSP 2021)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23B001FC" w14:textId="77777777" w:rsidR="00CE15A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</w:t>
            </w:r>
            <w:r w:rsidR="00B7113B" w:rsidRPr="00E20ADA">
              <w:rPr>
                <w:sz w:val="18"/>
                <w:szCs w:val="18"/>
              </w:rPr>
              <w:t>rodukty: Operacyjna Baza Mikrodanych (OBM), Analityczna Baza Mikrodanych (ABM)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3248D4EC" w14:textId="09F589B1" w:rsidR="00883198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883198" w:rsidRPr="00E20ADA">
              <w:rPr>
                <w:sz w:val="18"/>
                <w:szCs w:val="18"/>
              </w:rPr>
              <w:t xml:space="preserve">pis zależności: korzystanie - </w:t>
            </w:r>
            <w:r w:rsidR="00B7113B" w:rsidRPr="00E20ADA">
              <w:rPr>
                <w:sz w:val="18"/>
                <w:szCs w:val="18"/>
              </w:rPr>
              <w:t xml:space="preserve">Wykorzystywane zostały produkty wytworzone w ramach projektu PSR 2020 i NSP 2021. </w:t>
            </w:r>
            <w:r w:rsidR="00883198" w:rsidRPr="00E20ADA">
              <w:rPr>
                <w:sz w:val="18"/>
                <w:szCs w:val="18"/>
              </w:rPr>
              <w:t xml:space="preserve">Wytworzone rozwiązania </w:t>
            </w:r>
            <w:r w:rsidR="00B7113B" w:rsidRPr="00E20ADA">
              <w:rPr>
                <w:sz w:val="18"/>
                <w:szCs w:val="18"/>
              </w:rPr>
              <w:t xml:space="preserve">w ramach projektu PSR 2020 i NSP 2021 zostały zintegrowane </w:t>
            </w:r>
            <w:r w:rsidR="00883198" w:rsidRPr="00E20ADA">
              <w:rPr>
                <w:sz w:val="18"/>
                <w:szCs w:val="18"/>
              </w:rPr>
              <w:t>z</w:t>
            </w:r>
            <w:r w:rsidR="00E20ADA">
              <w:rPr>
                <w:sz w:val="18"/>
                <w:szCs w:val="18"/>
              </w:rPr>
              <w:t> </w:t>
            </w:r>
            <w:r w:rsidR="00883198" w:rsidRPr="00E20ADA">
              <w:rPr>
                <w:sz w:val="18"/>
                <w:szCs w:val="18"/>
              </w:rPr>
              <w:t xml:space="preserve">istniejącą architekturą systemów informatycznych </w:t>
            </w:r>
            <w:r w:rsidR="00B7113B" w:rsidRPr="00E20ADA">
              <w:rPr>
                <w:sz w:val="18"/>
                <w:szCs w:val="18"/>
              </w:rPr>
              <w:t xml:space="preserve">oraz </w:t>
            </w:r>
            <w:r w:rsidR="00883198" w:rsidRPr="00E20ADA">
              <w:rPr>
                <w:sz w:val="18"/>
                <w:szCs w:val="18"/>
              </w:rPr>
              <w:t>produktami projektu WS oraz KSZBI.</w:t>
            </w:r>
            <w:r w:rsidR="00314A7F" w:rsidRPr="00E20ADA">
              <w:rPr>
                <w:sz w:val="18"/>
                <w:szCs w:val="18"/>
              </w:rPr>
              <w:t xml:space="preserve"> Zaprojektowano repozytorium danych spisowych w</w:t>
            </w:r>
            <w:r w:rsidR="00E20ADA">
              <w:rPr>
                <w:sz w:val="18"/>
                <w:szCs w:val="18"/>
              </w:rPr>
              <w:t> </w:t>
            </w:r>
            <w:r w:rsidR="00314A7F" w:rsidRPr="00E20ADA">
              <w:rPr>
                <w:sz w:val="18"/>
                <w:szCs w:val="18"/>
              </w:rPr>
              <w:t>środowisku techniczno-systemowym wytworzonym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2F1D3A4D" w14:textId="77777777" w:rsidR="00883198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883198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0F526A47" w14:textId="77777777" w:rsidR="00B7113B" w:rsidRPr="00E20ADA" w:rsidRDefault="00B7113B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System Monitorowania Usług Publicznych – wdrożenie SMUP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67C3D226" w14:textId="77777777" w:rsidR="00B7113B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B7113B" w:rsidRPr="00E20ADA">
              <w:rPr>
                <w:sz w:val="18"/>
                <w:szCs w:val="18"/>
              </w:rPr>
              <w:t xml:space="preserve">pis zależności: korzystanie - </w:t>
            </w:r>
            <w:r w:rsidR="000F513D" w:rsidRPr="00E20ADA">
              <w:rPr>
                <w:sz w:val="18"/>
                <w:szCs w:val="18"/>
              </w:rPr>
              <w:t>Realizacja celów projektu Systemu Monitorowania Usług Publicznych – wdrożenie SMUP wymagało integracji modułów systemu z istniejącą architekturą systemów informatycznych oraz integracji z produktami projektu Wrota Statystyki oraz KSZBI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5E61EA06" w14:textId="1A522405" w:rsidR="000F513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B7113B" w:rsidRPr="00E20ADA">
              <w:rPr>
                <w:sz w:val="18"/>
                <w:szCs w:val="18"/>
              </w:rPr>
              <w:t>tan integracji</w:t>
            </w:r>
            <w:r w:rsidR="000F513D" w:rsidRPr="00E20ADA">
              <w:rPr>
                <w:sz w:val="18"/>
                <w:szCs w:val="18"/>
              </w:rPr>
              <w:t>:</w:t>
            </w:r>
            <w:r w:rsidR="000F513D" w:rsidRPr="00E20ADA">
              <w:t xml:space="preserve"> </w:t>
            </w:r>
            <w:r w:rsidR="005C5D28" w:rsidRPr="00E20ADA">
              <w:rPr>
                <w:sz w:val="18"/>
                <w:szCs w:val="18"/>
              </w:rPr>
              <w:t>wdrożony - w ramach projektu SMUP wdrożono demonstracyjne wersje: Aplikacji dla gmin i powiatów, repozytorium i</w:t>
            </w:r>
            <w:r w:rsidR="00E20ADA">
              <w:rPr>
                <w:sz w:val="18"/>
                <w:szCs w:val="18"/>
              </w:rPr>
              <w:t> </w:t>
            </w:r>
            <w:r w:rsidR="005C5D28" w:rsidRPr="00E20ADA">
              <w:rPr>
                <w:sz w:val="18"/>
                <w:szCs w:val="18"/>
              </w:rPr>
              <w:t>interfejsu API – zgodne z wytycznymi lidera projektu – MSWiA i jego uzgodnieniami z KRMC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1530D1B8" w14:textId="77777777" w:rsidR="00314A7F" w:rsidRPr="00E20ADA" w:rsidRDefault="00314A7F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Przestrzenne Dane Statystyczne w Systemie Informacyjnym Państwa (PDS)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0CEA4B26" w14:textId="77777777" w:rsidR="007F2901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produkt: Baza danych </w:t>
            </w:r>
            <w:r w:rsidR="00DC522B" w:rsidRPr="00E20ADA">
              <w:rPr>
                <w:sz w:val="18"/>
                <w:szCs w:val="18"/>
              </w:rPr>
              <w:t>Geoprzestrzennych;</w:t>
            </w:r>
          </w:p>
          <w:p w14:paraId="1351B957" w14:textId="77777777" w:rsidR="007F2901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opis zależności: uzupełnianie się  - Rozwiązania wytworzone w ramach projektu PDS zostały wykorzystywane w ramach projektu WS. Powstała Składnica Danych Geoprzestrzennych</w:t>
            </w:r>
            <w:r w:rsidR="00DC522B" w:rsidRPr="00E20ADA">
              <w:rPr>
                <w:sz w:val="18"/>
                <w:szCs w:val="18"/>
              </w:rPr>
              <w:t>;</w:t>
            </w:r>
            <w:r w:rsidRPr="00E20ADA">
              <w:rPr>
                <w:sz w:val="18"/>
                <w:szCs w:val="18"/>
              </w:rPr>
              <w:t xml:space="preserve"> </w:t>
            </w:r>
          </w:p>
          <w:p w14:paraId="413FEB7D" w14:textId="77777777" w:rsidR="00314A7F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4C39ECAE" w14:textId="77777777" w:rsidR="00314A7F" w:rsidRPr="00E20ADA" w:rsidRDefault="00314A7F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Otwarte dane – dostęp, standard, edukacja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6539B9FB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</w:t>
            </w:r>
            <w:r w:rsidR="00314A7F" w:rsidRPr="00E20ADA">
              <w:rPr>
                <w:sz w:val="18"/>
                <w:szCs w:val="18"/>
              </w:rPr>
              <w:t xml:space="preserve">rodukt: API </w:t>
            </w:r>
            <w:r w:rsidR="005D6F37" w:rsidRPr="00E20ADA">
              <w:rPr>
                <w:sz w:val="18"/>
                <w:szCs w:val="18"/>
              </w:rPr>
              <w:t>BDL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72A0CC2A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lastRenderedPageBreak/>
              <w:t>o</w:t>
            </w:r>
            <w:r w:rsidR="00314A7F" w:rsidRPr="00E20ADA">
              <w:rPr>
                <w:sz w:val="18"/>
                <w:szCs w:val="18"/>
              </w:rPr>
              <w:t xml:space="preserve">pis zależności: korzystanie - Wytworzone rozwiązania w ramach projektu OD </w:t>
            </w:r>
            <w:r w:rsidR="005D6F37" w:rsidRPr="00E20ADA">
              <w:rPr>
                <w:sz w:val="18"/>
                <w:szCs w:val="18"/>
              </w:rPr>
              <w:t>zostały rozbudowane</w:t>
            </w:r>
            <w:r w:rsidR="00314A7F" w:rsidRPr="00E20ADA">
              <w:rPr>
                <w:sz w:val="18"/>
                <w:szCs w:val="18"/>
              </w:rPr>
              <w:t>. BDL będzie korzystał ze zmodernizowanych procedur wynikających z wdroż</w:t>
            </w:r>
            <w:r w:rsidR="005D6F37" w:rsidRPr="00E20ADA">
              <w:rPr>
                <w:sz w:val="18"/>
                <w:szCs w:val="18"/>
              </w:rPr>
              <w:t>onego</w:t>
            </w:r>
            <w:r w:rsidR="00314A7F" w:rsidRPr="00E20ADA">
              <w:rPr>
                <w:sz w:val="18"/>
                <w:szCs w:val="18"/>
              </w:rPr>
              <w:t xml:space="preserve"> w ramach projektu WS Modelu Procesu Produkcji Statystycznej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1DC55C60" w14:textId="77777777" w:rsidR="00883198" w:rsidRPr="00E20ADA" w:rsidRDefault="009C662A" w:rsidP="005D6F37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314A7F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37757EC1" w14:textId="77777777" w:rsidR="005D6F37" w:rsidRPr="00E20ADA" w:rsidRDefault="005D6F37" w:rsidP="005D6F37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Otwarte dane plus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318C8E93" w14:textId="77777777" w:rsidR="005D6F37" w:rsidRPr="00E20ADA" w:rsidRDefault="009C662A" w:rsidP="00834F9C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produkt: </w:t>
            </w:r>
            <w:r w:rsidR="005D6F37" w:rsidRPr="00E20ADA">
              <w:rPr>
                <w:sz w:val="18"/>
                <w:szCs w:val="18"/>
              </w:rPr>
              <w:t>API DBW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78467CC8" w14:textId="77777777" w:rsidR="005D6F37" w:rsidRPr="00E20ADA" w:rsidRDefault="009C662A" w:rsidP="00834F9C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5D6F37" w:rsidRPr="00E20ADA">
              <w:rPr>
                <w:sz w:val="18"/>
                <w:szCs w:val="18"/>
              </w:rPr>
              <w:t>pis zależności: uzupełnianie się - Wytworzone rozwiązania w ramach projektu OD plus  zostały rozbudowane.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3A2E494F" w14:textId="6E7558D4" w:rsidR="00C25E7E" w:rsidRDefault="009C662A" w:rsidP="00DA34A0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5D6F37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07C2A051" w14:textId="77777777" w:rsidR="002E22B9" w:rsidRPr="006D01B0" w:rsidRDefault="002E22B9" w:rsidP="002E22B9">
            <w:pPr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Wdrożenie Kompleksowego Systemu Zarządzania Bezpieczeństwem Informacji – KSZBI dla statystyki publicznej:</w:t>
            </w:r>
          </w:p>
          <w:p w14:paraId="508CFF4B" w14:textId="77777777" w:rsidR="002E22B9" w:rsidRPr="006D01B0" w:rsidRDefault="002E22B9" w:rsidP="002E22B9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opis zależności: wspieranie;</w:t>
            </w:r>
          </w:p>
          <w:p w14:paraId="4C2ABF1B" w14:textId="39698243" w:rsidR="002E22B9" w:rsidRPr="006D01B0" w:rsidRDefault="002E22B9" w:rsidP="002E22B9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stan integracji: wdrożony – produkty Wrót Statystyki korzystające z</w:t>
            </w:r>
            <w:r w:rsidR="00186D47">
              <w:rPr>
                <w:rFonts w:ascii="Calibri" w:eastAsia="Calibri" w:hAnsi="Calibri" w:cs="Times New Roman"/>
                <w:sz w:val="18"/>
                <w:szCs w:val="18"/>
              </w:rPr>
              <w:t> </w:t>
            </w: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Internetu wykorzystują produkty wdrożone w ramach KSZBI, tj. WebGateway, FortiWeb, SIEM, EDR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6DDB8A6" w14:textId="77777777" w:rsidR="002E22B9" w:rsidRPr="002E22B9" w:rsidRDefault="002E22B9" w:rsidP="002E22B9">
            <w:pPr>
              <w:ind w:left="720"/>
              <w:jc w:val="both"/>
              <w:rPr>
                <w:sz w:val="18"/>
                <w:szCs w:val="18"/>
              </w:rPr>
            </w:pPr>
          </w:p>
          <w:p w14:paraId="0F722D5D" w14:textId="77777777" w:rsidR="002E22B9" w:rsidRDefault="002E22B9" w:rsidP="002E22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projekcie zrealizowano wszystkie przewidziane integracje z aplikacjami zewnętrznymi dostawców i odbiorów danych, tj.:</w:t>
            </w:r>
          </w:p>
          <w:p w14:paraId="78A42457" w14:textId="5E2C8CB7" w:rsidR="002E22B9" w:rsidRPr="002E22B9" w:rsidRDefault="002E22B9" w:rsidP="002E22B9">
            <w:pPr>
              <w:numPr>
                <w:ilvl w:val="0"/>
                <w:numId w:val="46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respondentów (dostawcy danych)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160E489A" w14:textId="6FE0E24F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administracyjne i pozaadministracyjne (dostawcy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571E3DA5" w14:textId="101D505A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podmiotów gospodarki narodowej (odbiorcy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1ABD65B6" w14:textId="40A074D3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urzędów administracji rządowej (odbiorcy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7F37A851" w14:textId="786089EA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jednostek samorządu terytorialnego (odbiorcy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0329D751" w14:textId="414E515B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Systemy EUROSTATU (odbiorcy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0251C993" w14:textId="7F09D2FB" w:rsidR="002E22B9" w:rsidRPr="002E22B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dane.gov.pl (odbiorcy danych)</w:t>
            </w:r>
            <w:r w:rsidRPr="002E22B9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0987DC75" w14:textId="4AF82580" w:rsidR="002E22B9" w:rsidRPr="006D01B0" w:rsidRDefault="002E22B9" w:rsidP="002E22B9">
            <w:pPr>
              <w:numPr>
                <w:ilvl w:val="0"/>
                <w:numId w:val="46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HUB Samorządowy (dostawcy danych)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60DF2ED0" w14:textId="01DB3FC6" w:rsidR="002E22B9" w:rsidRPr="002E22B9" w:rsidRDefault="002E22B9" w:rsidP="002E22B9">
            <w:pPr>
              <w:numPr>
                <w:ilvl w:val="0"/>
                <w:numId w:val="46"/>
              </w:num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Węzeł Krajowy Identyfikacji Elektronicznej (WK)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</w:tc>
      </w:tr>
      <w:tr w:rsidR="00C25E7E" w:rsidRPr="002450C4" w14:paraId="2A37CADE" w14:textId="77777777" w:rsidTr="00266C4A">
        <w:tc>
          <w:tcPr>
            <w:tcW w:w="562" w:type="dxa"/>
          </w:tcPr>
          <w:p w14:paraId="2DDD387B" w14:textId="77777777" w:rsidR="00C25E7E" w:rsidRPr="00DC522B" w:rsidRDefault="00C25E7E" w:rsidP="00DC522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1ACC98BC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521" w:type="dxa"/>
          </w:tcPr>
          <w:p w14:paraId="360C13CD" w14:textId="77777777" w:rsidR="00C25E7E" w:rsidRPr="00E20ADA" w:rsidRDefault="00C25E7E" w:rsidP="00C25E7E">
            <w:pPr>
              <w:jc w:val="both"/>
              <w:rPr>
                <w:bCs/>
                <w:iCs/>
                <w:sz w:val="18"/>
                <w:szCs w:val="20"/>
              </w:rPr>
            </w:pPr>
            <w:r w:rsidRPr="00E20ADA">
              <w:rPr>
                <w:bCs/>
                <w:iCs/>
                <w:sz w:val="18"/>
                <w:szCs w:val="20"/>
              </w:rPr>
              <w:t xml:space="preserve">Produkty i rezultaty projektu WROTA STATYSTYKI będą utrzymywane w ramach środków budżetowych GUS. </w:t>
            </w:r>
          </w:p>
          <w:p w14:paraId="0861C7B9" w14:textId="2C8AFDBD" w:rsidR="00C25E7E" w:rsidRPr="00E20ADA" w:rsidRDefault="00C25E7E" w:rsidP="00C25E7E">
            <w:pPr>
              <w:jc w:val="both"/>
              <w:rPr>
                <w:bCs/>
                <w:iCs/>
                <w:sz w:val="18"/>
                <w:szCs w:val="20"/>
              </w:rPr>
            </w:pPr>
            <w:r w:rsidRPr="00E20ADA">
              <w:rPr>
                <w:bCs/>
                <w:iCs/>
                <w:sz w:val="18"/>
                <w:szCs w:val="20"/>
              </w:rPr>
              <w:t xml:space="preserve">Utrzymanie produktów projektu WROTA STATYSTYKI będzie zapewnione przy wykorzystaniu własnych zasobów kadrowych statystki publicznej. </w:t>
            </w:r>
          </w:p>
        </w:tc>
      </w:tr>
      <w:tr w:rsidR="00C25E7E" w:rsidRPr="002450C4" w14:paraId="3D1CAB51" w14:textId="77777777" w:rsidTr="00266C4A">
        <w:tc>
          <w:tcPr>
            <w:tcW w:w="562" w:type="dxa"/>
          </w:tcPr>
          <w:p w14:paraId="396E6524" w14:textId="77777777" w:rsidR="00C25E7E" w:rsidRPr="002450C4" w:rsidRDefault="00C25E7E" w:rsidP="00DC522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5B2ADC49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521" w:type="dxa"/>
          </w:tcPr>
          <w:p w14:paraId="1651BDEE" w14:textId="77777777" w:rsidR="00C25E7E" w:rsidRPr="00E20ADA" w:rsidRDefault="00C25E7E" w:rsidP="00C25E7E">
            <w:p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Pozytywne:</w:t>
            </w:r>
          </w:p>
          <w:p w14:paraId="58F00C08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zwiększenie kompetencji kadry poprzez udział w szkoleniach;</w:t>
            </w:r>
          </w:p>
          <w:p w14:paraId="0C0A6E12" w14:textId="196416D1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podniesienie kompetencji interpersonalnych i zdobycie nowych umiejętności w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zakresie wykorzystania nowych urządzeń i technologii</w:t>
            </w:r>
            <w:r w:rsidR="00574C97" w:rsidRPr="00E20ADA">
              <w:rPr>
                <w:bCs/>
                <w:sz w:val="18"/>
                <w:szCs w:val="20"/>
              </w:rPr>
              <w:t>;</w:t>
            </w:r>
          </w:p>
          <w:p w14:paraId="072D4FE1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wzrost kompetencji i świadomości pracowników służb statystyki publicznej poprzez wdrożenie nowych e-usług publicznych;</w:t>
            </w:r>
          </w:p>
          <w:p w14:paraId="705E2C13" w14:textId="4306FCEE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organizacja regularnych spotkań, które pozwoliły na bieżącą wymianę wiedzy i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doświadczeń oraz na efektywną współpracę i sprawną realizację zadań projektowych;</w:t>
            </w:r>
          </w:p>
          <w:p w14:paraId="67CDBDBA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 spowodowała konieczność pracy zdalnej co przyczyniło się do zmiany sposobu obiegu dokumentów i zmiany formy przechowywania dokumentów z papierowej na elektroniczną (repozytorium dokumentów dostępne dla całego zespołu projektowego w jednym miejscu na serwerze);</w:t>
            </w:r>
          </w:p>
          <w:p w14:paraId="5AF466E7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 spowodowała konieczność pracy zdalnej co przyczyniło się do organizacji spotkań projektowych w formie zdalnej, dzięki czemu można było lepiej wykorzystać zespoły projektowe mające siedzibę poza Warszawą (Urzędy Statystyczne)</w:t>
            </w:r>
            <w:r w:rsidR="00574C97" w:rsidRPr="00E20ADA">
              <w:rPr>
                <w:bCs/>
                <w:sz w:val="18"/>
                <w:szCs w:val="20"/>
              </w:rPr>
              <w:t>;</w:t>
            </w:r>
          </w:p>
          <w:p w14:paraId="6D1CA00E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zwiększenie </w:t>
            </w:r>
            <w:r w:rsidR="00C25E7E" w:rsidRPr="00E20ADA">
              <w:rPr>
                <w:bCs/>
                <w:sz w:val="18"/>
                <w:szCs w:val="20"/>
              </w:rPr>
              <w:t>zasięgu działań informacyjnych statystyki publicznej nt. realizowanego projektu i jego efektów oraz zasobów informacyjnych statystyki publicznej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  <w:r w:rsidR="00C25E7E" w:rsidRPr="00E20ADA">
              <w:rPr>
                <w:bCs/>
                <w:sz w:val="18"/>
                <w:szCs w:val="20"/>
              </w:rPr>
              <w:t xml:space="preserve"> </w:t>
            </w:r>
          </w:p>
          <w:p w14:paraId="7E3527C0" w14:textId="7E508F30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budowania </w:t>
            </w:r>
            <w:r w:rsidR="00C25E7E" w:rsidRPr="00E20ADA">
              <w:rPr>
                <w:bCs/>
                <w:sz w:val="18"/>
                <w:szCs w:val="20"/>
              </w:rPr>
              <w:t>angażujących relacji z użytkownikami danych poprzez networking w</w:t>
            </w:r>
            <w:r w:rsidR="00E20ADA">
              <w:rPr>
                <w:bCs/>
                <w:sz w:val="18"/>
                <w:szCs w:val="20"/>
              </w:rPr>
              <w:t> </w:t>
            </w:r>
            <w:r w:rsidR="00C25E7E" w:rsidRPr="00E20ADA">
              <w:rPr>
                <w:bCs/>
                <w:sz w:val="18"/>
                <w:szCs w:val="20"/>
              </w:rPr>
              <w:t>czasie stacjonarnej konferencji promującej projekt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  <w:r w:rsidR="00C25E7E" w:rsidRPr="00E20ADA">
              <w:rPr>
                <w:bCs/>
                <w:sz w:val="18"/>
                <w:szCs w:val="20"/>
              </w:rPr>
              <w:t xml:space="preserve"> </w:t>
            </w:r>
          </w:p>
          <w:p w14:paraId="5842FBE4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poznanie i wykorzystanie narzędzia GitLab do zarządzania projektem</w:t>
            </w:r>
            <w:r w:rsidR="00F37E5A" w:rsidRPr="00E20ADA">
              <w:rPr>
                <w:bCs/>
                <w:sz w:val="18"/>
                <w:szCs w:val="20"/>
              </w:rPr>
              <w:t>;</w:t>
            </w:r>
          </w:p>
          <w:p w14:paraId="1CC63F82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rozpowszechnienie </w:t>
            </w:r>
            <w:r w:rsidR="00C25E7E" w:rsidRPr="00E20ADA">
              <w:rPr>
                <w:bCs/>
                <w:sz w:val="18"/>
                <w:szCs w:val="20"/>
              </w:rPr>
              <w:t>wśród pracowników znajomości i wykorzystanie Enterprise Architect jako narzędzia do projektowania rozwiązań architektonicznych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</w:p>
          <w:p w14:paraId="7C7F245B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lastRenderedPageBreak/>
              <w:t xml:space="preserve">stała </w:t>
            </w:r>
            <w:r w:rsidR="00C25E7E" w:rsidRPr="00E20ADA">
              <w:rPr>
                <w:bCs/>
                <w:sz w:val="18"/>
                <w:szCs w:val="20"/>
              </w:rPr>
              <w:t>współpraca z wsparciem IT pozwoliła na sprawniejszą realizację zadań projektowych i zwiększenie wiedzy zespołów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</w:p>
          <w:p w14:paraId="34A2B7DD" w14:textId="4AA5618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s</w:t>
            </w:r>
            <w:r w:rsidR="00C25E7E" w:rsidRPr="00E20ADA">
              <w:rPr>
                <w:bCs/>
                <w:sz w:val="18"/>
                <w:szCs w:val="20"/>
              </w:rPr>
              <w:t>potkania online pozwalały na sprawne prowadzanie dyskusji nawet w</w:t>
            </w:r>
            <w:r w:rsidR="00E20ADA">
              <w:rPr>
                <w:bCs/>
                <w:sz w:val="18"/>
                <w:szCs w:val="20"/>
              </w:rPr>
              <w:t> </w:t>
            </w:r>
            <w:r w:rsidR="00C25E7E" w:rsidRPr="00E20ADA">
              <w:rPr>
                <w:bCs/>
                <w:sz w:val="18"/>
                <w:szCs w:val="20"/>
              </w:rPr>
              <w:t>rozproszonych zespołach</w:t>
            </w:r>
            <w:r w:rsidR="009C662A" w:rsidRPr="00E20ADA">
              <w:rPr>
                <w:bCs/>
                <w:sz w:val="18"/>
                <w:szCs w:val="20"/>
              </w:rPr>
              <w:t>.</w:t>
            </w:r>
          </w:p>
          <w:p w14:paraId="6174560D" w14:textId="77777777" w:rsidR="00C25E7E" w:rsidRPr="00E20ADA" w:rsidRDefault="00C25E7E" w:rsidP="00C25E7E">
            <w:p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Negatywne:</w:t>
            </w:r>
          </w:p>
          <w:p w14:paraId="4716167A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praca pod presją czasu;</w:t>
            </w:r>
          </w:p>
          <w:p w14:paraId="3569136C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zmiany personalne w zespołach projektowych;</w:t>
            </w:r>
          </w:p>
          <w:p w14:paraId="1B1AEC8E" w14:textId="74F701DF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trudności związane z przygotowaniem Opisu Przedmiotu Zamówienia wynikające z konieczności zaangażowania osób posiadających specjalistyczną wiedzę i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doświadczenie;</w:t>
            </w:r>
          </w:p>
          <w:p w14:paraId="72F1C0A6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SARS-Cov-2, która wpłynęła na zwiększoną absencję pracowników z uwagi na zachorowania;</w:t>
            </w:r>
          </w:p>
          <w:p w14:paraId="3F78A1EE" w14:textId="77777777" w:rsidR="00AE5B3A" w:rsidRPr="00E20ADA" w:rsidRDefault="001932CA" w:rsidP="00CA0B2A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sytuacja </w:t>
            </w:r>
            <w:r w:rsidR="00C25E7E" w:rsidRPr="00E20ADA">
              <w:rPr>
                <w:bCs/>
                <w:sz w:val="18"/>
                <w:szCs w:val="20"/>
              </w:rPr>
              <w:t>kryzysowa wywołana pandemią COVID-19 spowodowała konieczność wprowadzenia obostrzeń w życiu społecznym i gospodarczym znacząco utrudniających dochowanie terminów związanych z realizacją programów operacyjnych</w:t>
            </w:r>
            <w:r w:rsidR="00AE5B3A" w:rsidRPr="00E20ADA">
              <w:rPr>
                <w:bCs/>
                <w:sz w:val="18"/>
                <w:szCs w:val="20"/>
              </w:rPr>
              <w:t>;</w:t>
            </w:r>
          </w:p>
          <w:p w14:paraId="002C4340" w14:textId="0B8AC4C6" w:rsidR="00C25E7E" w:rsidRPr="00E20ADA" w:rsidRDefault="00AE5B3A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tocząca się w Ukrainie wojna miała negatywny wpływ na terminową realizację zadań przez</w:t>
            </w:r>
            <w:r w:rsidR="008C17E5" w:rsidRPr="00E20ADA">
              <w:rPr>
                <w:bCs/>
                <w:sz w:val="18"/>
                <w:szCs w:val="20"/>
              </w:rPr>
              <w:t xml:space="preserve"> Konsorcjum Softengi</w:t>
            </w:r>
            <w:r w:rsidR="00470DA6" w:rsidRPr="00E20ADA">
              <w:rPr>
                <w:bCs/>
                <w:sz w:val="18"/>
                <w:szCs w:val="20"/>
              </w:rPr>
              <w:t>, którego uczestnikiem jest partner ukraiński.</w:t>
            </w:r>
          </w:p>
        </w:tc>
      </w:tr>
    </w:tbl>
    <w:p w14:paraId="0FE51DB1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54A9E"/>
    <w:multiLevelType w:val="multilevel"/>
    <w:tmpl w:val="0D90A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62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2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9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56" w:hanging="1440"/>
      </w:pPr>
      <w:rPr>
        <w:rFonts w:hint="default"/>
        <w:b w:val="0"/>
      </w:rPr>
    </w:lvl>
  </w:abstractNum>
  <w:abstractNum w:abstractNumId="3" w15:restartNumberingAfterBreak="0">
    <w:nsid w:val="0F99090A"/>
    <w:multiLevelType w:val="hybridMultilevel"/>
    <w:tmpl w:val="FAAC3160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2901F7"/>
    <w:multiLevelType w:val="multilevel"/>
    <w:tmpl w:val="FA485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A363BA1"/>
    <w:multiLevelType w:val="hybridMultilevel"/>
    <w:tmpl w:val="7A1A9B24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B64"/>
    <w:multiLevelType w:val="hybridMultilevel"/>
    <w:tmpl w:val="5BD209B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C86276"/>
    <w:multiLevelType w:val="hybridMultilevel"/>
    <w:tmpl w:val="E29C2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500BE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1367B"/>
    <w:multiLevelType w:val="hybridMultilevel"/>
    <w:tmpl w:val="877C36B2"/>
    <w:lvl w:ilvl="0" w:tplc="A468CFF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E54AF"/>
    <w:multiLevelType w:val="hybridMultilevel"/>
    <w:tmpl w:val="E684F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02621E"/>
    <w:multiLevelType w:val="multilevel"/>
    <w:tmpl w:val="B1B606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1440"/>
      </w:pPr>
      <w:rPr>
        <w:rFonts w:hint="default"/>
      </w:rPr>
    </w:lvl>
  </w:abstractNum>
  <w:abstractNum w:abstractNumId="12" w15:restartNumberingAfterBreak="0">
    <w:nsid w:val="26427B14"/>
    <w:multiLevelType w:val="multilevel"/>
    <w:tmpl w:val="FC889E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EB1"/>
    <w:multiLevelType w:val="hybridMultilevel"/>
    <w:tmpl w:val="91B69CEC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53078"/>
    <w:multiLevelType w:val="hybridMultilevel"/>
    <w:tmpl w:val="2F423D9C"/>
    <w:lvl w:ilvl="0" w:tplc="23500BE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1" w:tplc="23500BE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9E78CB"/>
    <w:multiLevelType w:val="multilevel"/>
    <w:tmpl w:val="CDC0C6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56" w:hanging="1440"/>
      </w:pPr>
      <w:rPr>
        <w:rFonts w:hint="default"/>
      </w:rPr>
    </w:lvl>
  </w:abstractNum>
  <w:abstractNum w:abstractNumId="17" w15:restartNumberingAfterBreak="0">
    <w:nsid w:val="346B1EDF"/>
    <w:multiLevelType w:val="multilevel"/>
    <w:tmpl w:val="038C54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440"/>
      </w:pPr>
      <w:rPr>
        <w:rFonts w:hint="default"/>
      </w:rPr>
    </w:lvl>
  </w:abstractNum>
  <w:abstractNum w:abstractNumId="18" w15:restartNumberingAfterBreak="0">
    <w:nsid w:val="35536F7A"/>
    <w:multiLevelType w:val="multilevel"/>
    <w:tmpl w:val="C368FD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2B6"/>
    <w:multiLevelType w:val="hybridMultilevel"/>
    <w:tmpl w:val="C0620766"/>
    <w:lvl w:ilvl="0" w:tplc="4ADE75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B36AAE"/>
    <w:multiLevelType w:val="hybridMultilevel"/>
    <w:tmpl w:val="AC32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401B3"/>
    <w:multiLevelType w:val="multilevel"/>
    <w:tmpl w:val="AB54681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56" w:hanging="1440"/>
      </w:pPr>
      <w:rPr>
        <w:rFonts w:hint="default"/>
      </w:rPr>
    </w:lvl>
  </w:abstractNum>
  <w:abstractNum w:abstractNumId="24" w15:restartNumberingAfterBreak="0">
    <w:nsid w:val="4070414E"/>
    <w:multiLevelType w:val="hybridMultilevel"/>
    <w:tmpl w:val="886C1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624F7"/>
    <w:multiLevelType w:val="hybridMultilevel"/>
    <w:tmpl w:val="E48C7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154044"/>
    <w:multiLevelType w:val="hybridMultilevel"/>
    <w:tmpl w:val="C212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E7572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67290F"/>
    <w:multiLevelType w:val="multilevel"/>
    <w:tmpl w:val="B6F8EF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1440"/>
      </w:pPr>
      <w:rPr>
        <w:rFonts w:hint="default"/>
      </w:rPr>
    </w:lvl>
  </w:abstractNum>
  <w:abstractNum w:abstractNumId="29" w15:restartNumberingAfterBreak="0">
    <w:nsid w:val="4A3E6C0D"/>
    <w:multiLevelType w:val="hybridMultilevel"/>
    <w:tmpl w:val="90325A38"/>
    <w:lvl w:ilvl="0" w:tplc="D1DA58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163DA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4614E"/>
    <w:multiLevelType w:val="hybridMultilevel"/>
    <w:tmpl w:val="868ABF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8B0A81"/>
    <w:multiLevelType w:val="hybridMultilevel"/>
    <w:tmpl w:val="092EA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412AF"/>
    <w:multiLevelType w:val="hybridMultilevel"/>
    <w:tmpl w:val="DBE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8664B"/>
    <w:multiLevelType w:val="multilevel"/>
    <w:tmpl w:val="422ADA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440"/>
      </w:pPr>
      <w:rPr>
        <w:rFonts w:hint="default"/>
      </w:rPr>
    </w:lvl>
  </w:abstractNum>
  <w:abstractNum w:abstractNumId="34" w15:restartNumberingAfterBreak="0">
    <w:nsid w:val="5EC87336"/>
    <w:multiLevelType w:val="hybridMultilevel"/>
    <w:tmpl w:val="F202CA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013F07"/>
    <w:multiLevelType w:val="multilevel"/>
    <w:tmpl w:val="7D7A509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3016BB1"/>
    <w:multiLevelType w:val="multilevel"/>
    <w:tmpl w:val="84D44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7" w15:restartNumberingAfterBreak="0">
    <w:nsid w:val="64FE2DE9"/>
    <w:multiLevelType w:val="hybridMultilevel"/>
    <w:tmpl w:val="DE7AAC76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D534AB"/>
    <w:multiLevelType w:val="hybridMultilevel"/>
    <w:tmpl w:val="BB7AAFE8"/>
    <w:lvl w:ilvl="0" w:tplc="EFD0C89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4249E7"/>
    <w:multiLevelType w:val="hybridMultilevel"/>
    <w:tmpl w:val="9C4ECE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219CA"/>
    <w:multiLevelType w:val="hybridMultilevel"/>
    <w:tmpl w:val="FEEE7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C65C83"/>
    <w:multiLevelType w:val="multilevel"/>
    <w:tmpl w:val="C03A1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D1B4C8F"/>
    <w:multiLevelType w:val="hybridMultilevel"/>
    <w:tmpl w:val="AC32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A5135"/>
    <w:multiLevelType w:val="multilevel"/>
    <w:tmpl w:val="38B4C3C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524439742">
    <w:abstractNumId w:val="2"/>
  </w:num>
  <w:num w:numId="2" w16cid:durableId="2130272527">
    <w:abstractNumId w:val="26"/>
  </w:num>
  <w:num w:numId="3" w16cid:durableId="449203072">
    <w:abstractNumId w:val="14"/>
  </w:num>
  <w:num w:numId="4" w16cid:durableId="2123499221">
    <w:abstractNumId w:val="5"/>
  </w:num>
  <w:num w:numId="5" w16cid:durableId="260650956">
    <w:abstractNumId w:val="20"/>
  </w:num>
  <w:num w:numId="6" w16cid:durableId="691225147">
    <w:abstractNumId w:val="37"/>
  </w:num>
  <w:num w:numId="7" w16cid:durableId="1244870880">
    <w:abstractNumId w:val="3"/>
  </w:num>
  <w:num w:numId="8" w16cid:durableId="452986350">
    <w:abstractNumId w:val="6"/>
  </w:num>
  <w:num w:numId="9" w16cid:durableId="677317356">
    <w:abstractNumId w:val="29"/>
  </w:num>
  <w:num w:numId="10" w16cid:durableId="770320049">
    <w:abstractNumId w:val="7"/>
  </w:num>
  <w:num w:numId="11" w16cid:durableId="751703402">
    <w:abstractNumId w:val="15"/>
  </w:num>
  <w:num w:numId="12" w16cid:durableId="645546267">
    <w:abstractNumId w:val="23"/>
  </w:num>
  <w:num w:numId="13" w16cid:durableId="1874419321">
    <w:abstractNumId w:val="32"/>
  </w:num>
  <w:num w:numId="14" w16cid:durableId="1712266327">
    <w:abstractNumId w:val="24"/>
  </w:num>
  <w:num w:numId="15" w16cid:durableId="76712336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5122381">
    <w:abstractNumId w:val="40"/>
  </w:num>
  <w:num w:numId="17" w16cid:durableId="1728216932">
    <w:abstractNumId w:val="19"/>
  </w:num>
  <w:num w:numId="18" w16cid:durableId="670377793">
    <w:abstractNumId w:val="22"/>
  </w:num>
  <w:num w:numId="19" w16cid:durableId="1933737424">
    <w:abstractNumId w:val="0"/>
  </w:num>
  <w:num w:numId="20" w16cid:durableId="503670543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7294101">
    <w:abstractNumId w:val="4"/>
  </w:num>
  <w:num w:numId="22" w16cid:durableId="260842075">
    <w:abstractNumId w:val="36"/>
  </w:num>
  <w:num w:numId="23" w16cid:durableId="1761640029">
    <w:abstractNumId w:val="18"/>
  </w:num>
  <w:num w:numId="24" w16cid:durableId="1911579801">
    <w:abstractNumId w:val="12"/>
  </w:num>
  <w:num w:numId="25" w16cid:durableId="2132742788">
    <w:abstractNumId w:val="16"/>
  </w:num>
  <w:num w:numId="26" w16cid:durableId="1980527022">
    <w:abstractNumId w:val="11"/>
  </w:num>
  <w:num w:numId="27" w16cid:durableId="887373945">
    <w:abstractNumId w:val="28"/>
  </w:num>
  <w:num w:numId="28" w16cid:durableId="1715274933">
    <w:abstractNumId w:val="35"/>
  </w:num>
  <w:num w:numId="29" w16cid:durableId="358823546">
    <w:abstractNumId w:val="33"/>
  </w:num>
  <w:num w:numId="30" w16cid:durableId="517817511">
    <w:abstractNumId w:val="42"/>
  </w:num>
  <w:num w:numId="31" w16cid:durableId="1377045664">
    <w:abstractNumId w:val="44"/>
  </w:num>
  <w:num w:numId="32" w16cid:durableId="1267886246">
    <w:abstractNumId w:val="17"/>
  </w:num>
  <w:num w:numId="33" w16cid:durableId="125901680">
    <w:abstractNumId w:val="21"/>
  </w:num>
  <w:num w:numId="34" w16cid:durableId="1438216653">
    <w:abstractNumId w:val="30"/>
  </w:num>
  <w:num w:numId="35" w16cid:durableId="1057825027">
    <w:abstractNumId w:val="31"/>
  </w:num>
  <w:num w:numId="36" w16cid:durableId="1146552436">
    <w:abstractNumId w:val="25"/>
  </w:num>
  <w:num w:numId="37" w16cid:durableId="1033573257">
    <w:abstractNumId w:val="38"/>
  </w:num>
  <w:num w:numId="38" w16cid:durableId="1951358524">
    <w:abstractNumId w:val="40"/>
  </w:num>
  <w:num w:numId="39" w16cid:durableId="108940022">
    <w:abstractNumId w:val="8"/>
  </w:num>
  <w:num w:numId="40" w16cid:durableId="1164008259">
    <w:abstractNumId w:val="13"/>
  </w:num>
  <w:num w:numId="41" w16cid:durableId="347483241">
    <w:abstractNumId w:val="1"/>
  </w:num>
  <w:num w:numId="42" w16cid:durableId="1815833072">
    <w:abstractNumId w:val="10"/>
  </w:num>
  <w:num w:numId="43" w16cid:durableId="1537817061">
    <w:abstractNumId w:val="27"/>
  </w:num>
  <w:num w:numId="44" w16cid:durableId="1678388434">
    <w:abstractNumId w:val="34"/>
  </w:num>
  <w:num w:numId="45" w16cid:durableId="1470629725">
    <w:abstractNumId w:val="9"/>
  </w:num>
  <w:num w:numId="46" w16cid:durableId="1359888336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996"/>
    <w:rsid w:val="00016F85"/>
    <w:rsid w:val="00035170"/>
    <w:rsid w:val="00046AB0"/>
    <w:rsid w:val="00047C95"/>
    <w:rsid w:val="0005797A"/>
    <w:rsid w:val="0006449B"/>
    <w:rsid w:val="00064A3A"/>
    <w:rsid w:val="00070AC8"/>
    <w:rsid w:val="0008467E"/>
    <w:rsid w:val="000867E1"/>
    <w:rsid w:val="00097A32"/>
    <w:rsid w:val="00097C2D"/>
    <w:rsid w:val="000C1BA9"/>
    <w:rsid w:val="000D3CA9"/>
    <w:rsid w:val="000D3FE9"/>
    <w:rsid w:val="000E0C6F"/>
    <w:rsid w:val="000E3CCC"/>
    <w:rsid w:val="000F513D"/>
    <w:rsid w:val="00125E1D"/>
    <w:rsid w:val="001455E8"/>
    <w:rsid w:val="00151D16"/>
    <w:rsid w:val="0015525B"/>
    <w:rsid w:val="00155FCB"/>
    <w:rsid w:val="001600BB"/>
    <w:rsid w:val="00161949"/>
    <w:rsid w:val="00161DDF"/>
    <w:rsid w:val="00165D16"/>
    <w:rsid w:val="00175CC2"/>
    <w:rsid w:val="001806EC"/>
    <w:rsid w:val="00186461"/>
    <w:rsid w:val="00186D47"/>
    <w:rsid w:val="001906DB"/>
    <w:rsid w:val="001932CA"/>
    <w:rsid w:val="00195075"/>
    <w:rsid w:val="00197A5C"/>
    <w:rsid w:val="001A70CF"/>
    <w:rsid w:val="001C611C"/>
    <w:rsid w:val="001C6D7D"/>
    <w:rsid w:val="001D0FC0"/>
    <w:rsid w:val="001D752B"/>
    <w:rsid w:val="001E014D"/>
    <w:rsid w:val="001E21BD"/>
    <w:rsid w:val="0021582D"/>
    <w:rsid w:val="002450C4"/>
    <w:rsid w:val="00266C4A"/>
    <w:rsid w:val="00271710"/>
    <w:rsid w:val="00286405"/>
    <w:rsid w:val="002A153C"/>
    <w:rsid w:val="002A728C"/>
    <w:rsid w:val="002B4878"/>
    <w:rsid w:val="002C3B1F"/>
    <w:rsid w:val="002C3FFA"/>
    <w:rsid w:val="002E22B9"/>
    <w:rsid w:val="002E73E7"/>
    <w:rsid w:val="00302734"/>
    <w:rsid w:val="00306A97"/>
    <w:rsid w:val="00310DB1"/>
    <w:rsid w:val="003123BD"/>
    <w:rsid w:val="00314A7F"/>
    <w:rsid w:val="003204AA"/>
    <w:rsid w:val="0032448D"/>
    <w:rsid w:val="00331553"/>
    <w:rsid w:val="00360FF5"/>
    <w:rsid w:val="003638D9"/>
    <w:rsid w:val="00364257"/>
    <w:rsid w:val="003A0BCF"/>
    <w:rsid w:val="003A39C4"/>
    <w:rsid w:val="003B107D"/>
    <w:rsid w:val="003B2768"/>
    <w:rsid w:val="003B3924"/>
    <w:rsid w:val="003B7BD6"/>
    <w:rsid w:val="003C1447"/>
    <w:rsid w:val="003C37DC"/>
    <w:rsid w:val="003D7919"/>
    <w:rsid w:val="003E118C"/>
    <w:rsid w:val="003F2622"/>
    <w:rsid w:val="003F62FD"/>
    <w:rsid w:val="00404302"/>
    <w:rsid w:val="004046DC"/>
    <w:rsid w:val="00416AB6"/>
    <w:rsid w:val="00424E1E"/>
    <w:rsid w:val="00436043"/>
    <w:rsid w:val="004510FA"/>
    <w:rsid w:val="00455DA2"/>
    <w:rsid w:val="004644F4"/>
    <w:rsid w:val="00470DA6"/>
    <w:rsid w:val="00485484"/>
    <w:rsid w:val="004A472A"/>
    <w:rsid w:val="004B19FE"/>
    <w:rsid w:val="004D135D"/>
    <w:rsid w:val="004F56A7"/>
    <w:rsid w:val="004F7D00"/>
    <w:rsid w:val="005204AE"/>
    <w:rsid w:val="00526EB8"/>
    <w:rsid w:val="00536EC0"/>
    <w:rsid w:val="005370A7"/>
    <w:rsid w:val="00546DD3"/>
    <w:rsid w:val="005516E3"/>
    <w:rsid w:val="00574C97"/>
    <w:rsid w:val="005755F5"/>
    <w:rsid w:val="0058262E"/>
    <w:rsid w:val="00584714"/>
    <w:rsid w:val="00586E6F"/>
    <w:rsid w:val="0058791A"/>
    <w:rsid w:val="00591A8D"/>
    <w:rsid w:val="005A33B6"/>
    <w:rsid w:val="005A4344"/>
    <w:rsid w:val="005B173D"/>
    <w:rsid w:val="005B3310"/>
    <w:rsid w:val="005B5A7F"/>
    <w:rsid w:val="005C072B"/>
    <w:rsid w:val="005C5D28"/>
    <w:rsid w:val="005D4188"/>
    <w:rsid w:val="005D6F37"/>
    <w:rsid w:val="006107DC"/>
    <w:rsid w:val="00632AA0"/>
    <w:rsid w:val="006348FC"/>
    <w:rsid w:val="00640B17"/>
    <w:rsid w:val="00643672"/>
    <w:rsid w:val="00644C99"/>
    <w:rsid w:val="00650B48"/>
    <w:rsid w:val="006516B1"/>
    <w:rsid w:val="00680813"/>
    <w:rsid w:val="00687AFE"/>
    <w:rsid w:val="00696D35"/>
    <w:rsid w:val="006A6324"/>
    <w:rsid w:val="006B7454"/>
    <w:rsid w:val="006D2875"/>
    <w:rsid w:val="006D7D74"/>
    <w:rsid w:val="006F5553"/>
    <w:rsid w:val="00703749"/>
    <w:rsid w:val="00716201"/>
    <w:rsid w:val="007408A3"/>
    <w:rsid w:val="00743031"/>
    <w:rsid w:val="007437D9"/>
    <w:rsid w:val="00746D51"/>
    <w:rsid w:val="00760BB9"/>
    <w:rsid w:val="00764424"/>
    <w:rsid w:val="0076539D"/>
    <w:rsid w:val="00766344"/>
    <w:rsid w:val="00767BE1"/>
    <w:rsid w:val="00773523"/>
    <w:rsid w:val="0079471C"/>
    <w:rsid w:val="007A0A3D"/>
    <w:rsid w:val="007A1756"/>
    <w:rsid w:val="007A28A6"/>
    <w:rsid w:val="007B278C"/>
    <w:rsid w:val="007C54F9"/>
    <w:rsid w:val="007D3E1F"/>
    <w:rsid w:val="007E0458"/>
    <w:rsid w:val="007E2F1F"/>
    <w:rsid w:val="007E6098"/>
    <w:rsid w:val="007F045D"/>
    <w:rsid w:val="007F2901"/>
    <w:rsid w:val="007F63EF"/>
    <w:rsid w:val="00805C14"/>
    <w:rsid w:val="00813FEF"/>
    <w:rsid w:val="00814C23"/>
    <w:rsid w:val="00815246"/>
    <w:rsid w:val="008213A6"/>
    <w:rsid w:val="008221DF"/>
    <w:rsid w:val="00833E99"/>
    <w:rsid w:val="00834F9C"/>
    <w:rsid w:val="00857333"/>
    <w:rsid w:val="008632E4"/>
    <w:rsid w:val="00882548"/>
    <w:rsid w:val="00883198"/>
    <w:rsid w:val="008846B4"/>
    <w:rsid w:val="008927DE"/>
    <w:rsid w:val="008B4B4E"/>
    <w:rsid w:val="008C17E5"/>
    <w:rsid w:val="008C217A"/>
    <w:rsid w:val="008C34F8"/>
    <w:rsid w:val="008C4217"/>
    <w:rsid w:val="008E0416"/>
    <w:rsid w:val="008E216B"/>
    <w:rsid w:val="008F0614"/>
    <w:rsid w:val="009020F7"/>
    <w:rsid w:val="00905779"/>
    <w:rsid w:val="00906AD3"/>
    <w:rsid w:val="0092099A"/>
    <w:rsid w:val="00920CE8"/>
    <w:rsid w:val="00922905"/>
    <w:rsid w:val="00924165"/>
    <w:rsid w:val="00925130"/>
    <w:rsid w:val="00926318"/>
    <w:rsid w:val="00927434"/>
    <w:rsid w:val="00945F19"/>
    <w:rsid w:val="0095078E"/>
    <w:rsid w:val="0095104A"/>
    <w:rsid w:val="009634AC"/>
    <w:rsid w:val="009820D7"/>
    <w:rsid w:val="00982DC4"/>
    <w:rsid w:val="009848E7"/>
    <w:rsid w:val="009A21EC"/>
    <w:rsid w:val="009A3ECE"/>
    <w:rsid w:val="009B0238"/>
    <w:rsid w:val="009B6C58"/>
    <w:rsid w:val="009B7870"/>
    <w:rsid w:val="009C0D0F"/>
    <w:rsid w:val="009C4D3D"/>
    <w:rsid w:val="009C662A"/>
    <w:rsid w:val="009D3D41"/>
    <w:rsid w:val="009D4A59"/>
    <w:rsid w:val="009E1398"/>
    <w:rsid w:val="009F68A1"/>
    <w:rsid w:val="00A02674"/>
    <w:rsid w:val="00A12836"/>
    <w:rsid w:val="00A1534B"/>
    <w:rsid w:val="00A26BBD"/>
    <w:rsid w:val="00A41FAD"/>
    <w:rsid w:val="00A522AB"/>
    <w:rsid w:val="00A53D44"/>
    <w:rsid w:val="00A65105"/>
    <w:rsid w:val="00A6601B"/>
    <w:rsid w:val="00A710B2"/>
    <w:rsid w:val="00AA1C73"/>
    <w:rsid w:val="00AA3BEC"/>
    <w:rsid w:val="00AC37D9"/>
    <w:rsid w:val="00AC7AF3"/>
    <w:rsid w:val="00AD0979"/>
    <w:rsid w:val="00AE5B3A"/>
    <w:rsid w:val="00AE7470"/>
    <w:rsid w:val="00AF780B"/>
    <w:rsid w:val="00B040E1"/>
    <w:rsid w:val="00B25789"/>
    <w:rsid w:val="00B33C04"/>
    <w:rsid w:val="00B345D4"/>
    <w:rsid w:val="00B361A8"/>
    <w:rsid w:val="00B37BE0"/>
    <w:rsid w:val="00B47896"/>
    <w:rsid w:val="00B56B7D"/>
    <w:rsid w:val="00B57299"/>
    <w:rsid w:val="00B6187E"/>
    <w:rsid w:val="00B7113B"/>
    <w:rsid w:val="00B82E0C"/>
    <w:rsid w:val="00B8553E"/>
    <w:rsid w:val="00B93735"/>
    <w:rsid w:val="00B938BC"/>
    <w:rsid w:val="00BA01A7"/>
    <w:rsid w:val="00BA6CBB"/>
    <w:rsid w:val="00BC120E"/>
    <w:rsid w:val="00BC3E23"/>
    <w:rsid w:val="00BD3DCF"/>
    <w:rsid w:val="00BE4C6F"/>
    <w:rsid w:val="00BE783D"/>
    <w:rsid w:val="00BF10F8"/>
    <w:rsid w:val="00BF6FFB"/>
    <w:rsid w:val="00C02314"/>
    <w:rsid w:val="00C027AD"/>
    <w:rsid w:val="00C02CC5"/>
    <w:rsid w:val="00C148DF"/>
    <w:rsid w:val="00C15802"/>
    <w:rsid w:val="00C25E7E"/>
    <w:rsid w:val="00C37A3A"/>
    <w:rsid w:val="00C42435"/>
    <w:rsid w:val="00C42446"/>
    <w:rsid w:val="00C42A5D"/>
    <w:rsid w:val="00C477C0"/>
    <w:rsid w:val="00C526C8"/>
    <w:rsid w:val="00C546B0"/>
    <w:rsid w:val="00C56B53"/>
    <w:rsid w:val="00C67B9B"/>
    <w:rsid w:val="00C87A61"/>
    <w:rsid w:val="00C948E6"/>
    <w:rsid w:val="00CA0B2A"/>
    <w:rsid w:val="00CA1926"/>
    <w:rsid w:val="00CA5C5C"/>
    <w:rsid w:val="00CA79E4"/>
    <w:rsid w:val="00CC2FB1"/>
    <w:rsid w:val="00CE15AD"/>
    <w:rsid w:val="00CE1EB1"/>
    <w:rsid w:val="00CF4111"/>
    <w:rsid w:val="00D0129D"/>
    <w:rsid w:val="00D01AED"/>
    <w:rsid w:val="00D01CBD"/>
    <w:rsid w:val="00D03AA2"/>
    <w:rsid w:val="00D05BD9"/>
    <w:rsid w:val="00D22A05"/>
    <w:rsid w:val="00D2582C"/>
    <w:rsid w:val="00D42681"/>
    <w:rsid w:val="00D51A77"/>
    <w:rsid w:val="00D54B40"/>
    <w:rsid w:val="00D63876"/>
    <w:rsid w:val="00D65F79"/>
    <w:rsid w:val="00D76B64"/>
    <w:rsid w:val="00DA025F"/>
    <w:rsid w:val="00DA34A0"/>
    <w:rsid w:val="00DB41B0"/>
    <w:rsid w:val="00DB70A5"/>
    <w:rsid w:val="00DC2455"/>
    <w:rsid w:val="00DC3F82"/>
    <w:rsid w:val="00DC522B"/>
    <w:rsid w:val="00E05B68"/>
    <w:rsid w:val="00E06B1A"/>
    <w:rsid w:val="00E078F7"/>
    <w:rsid w:val="00E13F89"/>
    <w:rsid w:val="00E20ADA"/>
    <w:rsid w:val="00E22332"/>
    <w:rsid w:val="00E26414"/>
    <w:rsid w:val="00E30008"/>
    <w:rsid w:val="00E52249"/>
    <w:rsid w:val="00EB5BB8"/>
    <w:rsid w:val="00EE4292"/>
    <w:rsid w:val="00EF094D"/>
    <w:rsid w:val="00F02FF6"/>
    <w:rsid w:val="00F0550A"/>
    <w:rsid w:val="00F079BE"/>
    <w:rsid w:val="00F175AE"/>
    <w:rsid w:val="00F252A4"/>
    <w:rsid w:val="00F276BC"/>
    <w:rsid w:val="00F321E5"/>
    <w:rsid w:val="00F32CAA"/>
    <w:rsid w:val="00F37E5A"/>
    <w:rsid w:val="00F5164F"/>
    <w:rsid w:val="00F67322"/>
    <w:rsid w:val="00F7153B"/>
    <w:rsid w:val="00F741B3"/>
    <w:rsid w:val="00F803A6"/>
    <w:rsid w:val="00F82254"/>
    <w:rsid w:val="00F8300C"/>
    <w:rsid w:val="00F90244"/>
    <w:rsid w:val="00FA2C7F"/>
    <w:rsid w:val="00FB43BB"/>
    <w:rsid w:val="00FD074F"/>
    <w:rsid w:val="00FD08F2"/>
    <w:rsid w:val="00FD0983"/>
    <w:rsid w:val="00FD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E4FD"/>
  <w15:chartTrackingRefBased/>
  <w15:docId w15:val="{5F98EFF6-1C60-49B7-A4E3-61F1893D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3B1F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640B17"/>
    <w:pPr>
      <w:keepNext/>
      <w:spacing w:after="0" w:line="240" w:lineRule="auto"/>
      <w:jc w:val="center"/>
      <w:outlineLvl w:val="3"/>
    </w:pPr>
    <w:rPr>
      <w:rFonts w:ascii="Arial Narrow" w:eastAsia="Times New Roman" w:hAnsi="Arial Narrow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2,CW_Lista,lp1,Preambuła,Dot pt,F5 List Paragraph,Recommendation,List Paragraph11,L1,Normalny PDST,HŁ_Bullet1,Akapit z listą5,Akapit normalny,List Paragraph,Nag 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B9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B37BE0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B37BE0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640B17"/>
    <w:rPr>
      <w:rFonts w:ascii="Arial Narrow" w:eastAsia="Times New Roman" w:hAnsi="Arial Narrow" w:cs="Times New Roman"/>
      <w:b/>
      <w:sz w:val="28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 Paragraph2 Znak,CW_Lista Znak,lp1 Znak,Preambuła Znak,Dot pt Znak,F5 List Paragraph Znak,Recommendation Znak,List Paragraph11 Znak,L1 Znak,HŁ_Bullet1 Znak"/>
    <w:link w:val="Akapitzlist"/>
    <w:uiPriority w:val="34"/>
    <w:qFormat/>
    <w:locked/>
    <w:rsid w:val="00C526C8"/>
  </w:style>
  <w:style w:type="paragraph" w:styleId="Poprawka">
    <w:name w:val="Revision"/>
    <w:hidden/>
    <w:uiPriority w:val="99"/>
    <w:semiHidden/>
    <w:rsid w:val="005516E3"/>
    <w:pPr>
      <w:spacing w:after="0" w:line="240" w:lineRule="auto"/>
    </w:pPr>
  </w:style>
  <w:style w:type="paragraph" w:styleId="Legenda">
    <w:name w:val="caption"/>
    <w:basedOn w:val="Normalny"/>
    <w:next w:val="Normalny"/>
    <w:unhideWhenUsed/>
    <w:qFormat/>
    <w:rsid w:val="00C25E7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C3B1F"/>
    <w:rPr>
      <w:rFonts w:ascii="Calibri Light" w:eastAsia="Times New Roman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Autokorekta Raport końcowy WROTA STATYSTYKI.docx.docx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STAT\ZIETEKM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3E8A47-C3EC-43E2-8A29-0C4DF4AB6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E2C17-78AC-4F91-BBDA-E47A256F95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4996</Words>
  <Characters>29982</Characters>
  <Application>Microsoft Office Word</Application>
  <DocSecurity>4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34909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Stępniewska-Sałata Aneta</cp:lastModifiedBy>
  <cp:revision>2</cp:revision>
  <dcterms:created xsi:type="dcterms:W3CDTF">2024-05-06T08:53:00Z</dcterms:created>
  <dcterms:modified xsi:type="dcterms:W3CDTF">2024-05-06T08:53:00Z</dcterms:modified>
</cp:coreProperties>
</file>